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heme="minorHAnsi" w:hAnsi="Times New Roman" w:cs="Times New Roman"/>
          <w:color w:val="000000" w:themeColor="text1"/>
          <w:sz w:val="22"/>
          <w:szCs w:val="24"/>
          <w:lang w:eastAsia="en-US"/>
        </w:rPr>
        <w:id w:val="936866471"/>
        <w:docPartObj>
          <w:docPartGallery w:val="Table of Contents"/>
          <w:docPartUnique/>
        </w:docPartObj>
      </w:sdtPr>
      <w:sdtEndPr>
        <w:rPr>
          <w:b/>
          <w:bCs/>
        </w:rPr>
      </w:sdtEndPr>
      <w:sdtContent>
        <w:p w:rsidR="00A8512B" w:rsidRPr="002279E2" w:rsidRDefault="00A8512B" w:rsidP="00612935">
          <w:pPr>
            <w:pStyle w:val="Titolosommario"/>
            <w:rPr>
              <w:rFonts w:ascii="Times New Roman" w:hAnsi="Times New Roman" w:cs="Times New Roman"/>
              <w:szCs w:val="24"/>
            </w:rPr>
          </w:pPr>
          <w:r w:rsidRPr="002279E2">
            <w:rPr>
              <w:rFonts w:ascii="Times New Roman" w:hAnsi="Times New Roman" w:cs="Times New Roman"/>
              <w:szCs w:val="24"/>
            </w:rPr>
            <w:t>Sommario</w:t>
          </w:r>
        </w:p>
        <w:p w:rsidR="009C5FC2" w:rsidRPr="002279E2" w:rsidRDefault="009C5FC2" w:rsidP="009C5FC2">
          <w:pPr>
            <w:rPr>
              <w:lang w:eastAsia="it-IT"/>
            </w:rPr>
          </w:pPr>
        </w:p>
        <w:p w:rsidR="00CB2AB4" w:rsidRDefault="000B1724">
          <w:pPr>
            <w:pStyle w:val="Sommario1"/>
            <w:tabs>
              <w:tab w:val="right" w:leader="dot" w:pos="9769"/>
            </w:tabs>
            <w:rPr>
              <w:rFonts w:eastAsiaTheme="minorEastAsia"/>
              <w:b w:val="0"/>
              <w:bCs w:val="0"/>
              <w:caps w:val="0"/>
              <w:noProof/>
              <w:color w:val="auto"/>
              <w:sz w:val="22"/>
              <w:szCs w:val="22"/>
              <w:lang w:eastAsia="it-IT"/>
            </w:rPr>
          </w:pPr>
          <w:r w:rsidRPr="002279E2">
            <w:rPr>
              <w:rFonts w:ascii="Times New Roman" w:hAnsi="Times New Roman" w:cs="Times New Roman"/>
              <w:caps w:val="0"/>
              <w:sz w:val="24"/>
              <w:szCs w:val="24"/>
            </w:rPr>
            <w:fldChar w:fldCharType="begin"/>
          </w:r>
          <w:r w:rsidRPr="002279E2">
            <w:rPr>
              <w:rFonts w:ascii="Times New Roman" w:hAnsi="Times New Roman" w:cs="Times New Roman"/>
              <w:caps w:val="0"/>
              <w:sz w:val="24"/>
              <w:szCs w:val="24"/>
            </w:rPr>
            <w:instrText xml:space="preserve"> TOC \o "1-3" \h \z \u </w:instrText>
          </w:r>
          <w:r w:rsidRPr="002279E2">
            <w:rPr>
              <w:rFonts w:ascii="Times New Roman" w:hAnsi="Times New Roman" w:cs="Times New Roman"/>
              <w:caps w:val="0"/>
              <w:sz w:val="24"/>
              <w:szCs w:val="24"/>
            </w:rPr>
            <w:fldChar w:fldCharType="separate"/>
          </w:r>
          <w:hyperlink w:anchor="_Toc6937328" w:history="1">
            <w:r w:rsidR="00CB2AB4" w:rsidRPr="00C41E0C">
              <w:rPr>
                <w:rStyle w:val="Collegamentoipertestuale"/>
                <w:noProof/>
              </w:rPr>
              <w:t>Capo I Misure fiscali per la crescita economica</w:t>
            </w:r>
            <w:r w:rsidR="00CB2AB4">
              <w:rPr>
                <w:noProof/>
                <w:webHidden/>
              </w:rPr>
              <w:tab/>
            </w:r>
            <w:r w:rsidR="00CB2AB4">
              <w:rPr>
                <w:noProof/>
                <w:webHidden/>
              </w:rPr>
              <w:fldChar w:fldCharType="begin"/>
            </w:r>
            <w:r w:rsidR="00CB2AB4">
              <w:rPr>
                <w:noProof/>
                <w:webHidden/>
              </w:rPr>
              <w:instrText xml:space="preserve"> PAGEREF _Toc6937328 \h </w:instrText>
            </w:r>
            <w:r w:rsidR="00CB2AB4">
              <w:rPr>
                <w:noProof/>
                <w:webHidden/>
              </w:rPr>
            </w:r>
            <w:r w:rsidR="00CB2AB4">
              <w:rPr>
                <w:noProof/>
                <w:webHidden/>
              </w:rPr>
              <w:fldChar w:fldCharType="separate"/>
            </w:r>
            <w:r w:rsidR="00CB2AB4">
              <w:rPr>
                <w:noProof/>
                <w:webHidden/>
              </w:rPr>
              <w:t>3</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29" w:history="1">
            <w:r w:rsidR="00CB2AB4" w:rsidRPr="00C41E0C">
              <w:rPr>
                <w:rStyle w:val="Collegamentoipertestuale"/>
                <w:noProof/>
              </w:rPr>
              <w:t>Articolo 1 (Maggiorazione dell’ammortamento per i beni strumentali nuovi)</w:t>
            </w:r>
            <w:r w:rsidR="00CB2AB4">
              <w:rPr>
                <w:noProof/>
                <w:webHidden/>
              </w:rPr>
              <w:tab/>
            </w:r>
            <w:r w:rsidR="00CB2AB4">
              <w:rPr>
                <w:noProof/>
                <w:webHidden/>
              </w:rPr>
              <w:fldChar w:fldCharType="begin"/>
            </w:r>
            <w:r w:rsidR="00CB2AB4">
              <w:rPr>
                <w:noProof/>
                <w:webHidden/>
              </w:rPr>
              <w:instrText xml:space="preserve"> PAGEREF _Toc6937329 \h </w:instrText>
            </w:r>
            <w:r w:rsidR="00CB2AB4">
              <w:rPr>
                <w:noProof/>
                <w:webHidden/>
              </w:rPr>
            </w:r>
            <w:r w:rsidR="00CB2AB4">
              <w:rPr>
                <w:noProof/>
                <w:webHidden/>
              </w:rPr>
              <w:fldChar w:fldCharType="separate"/>
            </w:r>
            <w:r w:rsidR="00CB2AB4">
              <w:rPr>
                <w:noProof/>
                <w:webHidden/>
              </w:rPr>
              <w:t>3</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30" w:history="1">
            <w:r w:rsidR="00CB2AB4" w:rsidRPr="00C41E0C">
              <w:rPr>
                <w:rStyle w:val="Collegamentoipertestuale"/>
                <w:noProof/>
              </w:rPr>
              <w:t>Articolo 2 (Revisione mini-IRES)</w:t>
            </w:r>
            <w:r w:rsidR="00CB2AB4">
              <w:rPr>
                <w:noProof/>
                <w:webHidden/>
              </w:rPr>
              <w:tab/>
            </w:r>
            <w:r w:rsidR="00CB2AB4">
              <w:rPr>
                <w:noProof/>
                <w:webHidden/>
              </w:rPr>
              <w:fldChar w:fldCharType="begin"/>
            </w:r>
            <w:r w:rsidR="00CB2AB4">
              <w:rPr>
                <w:noProof/>
                <w:webHidden/>
              </w:rPr>
              <w:instrText xml:space="preserve"> PAGEREF _Toc6937330 \h </w:instrText>
            </w:r>
            <w:r w:rsidR="00CB2AB4">
              <w:rPr>
                <w:noProof/>
                <w:webHidden/>
              </w:rPr>
            </w:r>
            <w:r w:rsidR="00CB2AB4">
              <w:rPr>
                <w:noProof/>
                <w:webHidden/>
              </w:rPr>
              <w:fldChar w:fldCharType="separate"/>
            </w:r>
            <w:r w:rsidR="00CB2AB4">
              <w:rPr>
                <w:noProof/>
                <w:webHidden/>
              </w:rPr>
              <w:t>4</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31" w:history="1">
            <w:r w:rsidR="00CB2AB4" w:rsidRPr="00C41E0C">
              <w:rPr>
                <w:rStyle w:val="Collegamentoipertestuale"/>
                <w:noProof/>
              </w:rPr>
              <w:t>Articolo 3 (Maggiorazione deducibilità IMU dalle imposte sui redditi)</w:t>
            </w:r>
            <w:r w:rsidR="00CB2AB4">
              <w:rPr>
                <w:noProof/>
                <w:webHidden/>
              </w:rPr>
              <w:tab/>
            </w:r>
            <w:r w:rsidR="00CB2AB4">
              <w:rPr>
                <w:noProof/>
                <w:webHidden/>
              </w:rPr>
              <w:fldChar w:fldCharType="begin"/>
            </w:r>
            <w:r w:rsidR="00CB2AB4">
              <w:rPr>
                <w:noProof/>
                <w:webHidden/>
              </w:rPr>
              <w:instrText xml:space="preserve"> PAGEREF _Toc6937331 \h </w:instrText>
            </w:r>
            <w:r w:rsidR="00CB2AB4">
              <w:rPr>
                <w:noProof/>
                <w:webHidden/>
              </w:rPr>
            </w:r>
            <w:r w:rsidR="00CB2AB4">
              <w:rPr>
                <w:noProof/>
                <w:webHidden/>
              </w:rPr>
              <w:fldChar w:fldCharType="separate"/>
            </w:r>
            <w:r w:rsidR="00CB2AB4">
              <w:rPr>
                <w:noProof/>
                <w:webHidden/>
              </w:rPr>
              <w:t>7</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32" w:history="1">
            <w:r w:rsidR="00CB2AB4" w:rsidRPr="00C41E0C">
              <w:rPr>
                <w:rStyle w:val="Collegamentoipertestuale"/>
                <w:noProof/>
              </w:rPr>
              <w:t>Articolo 4 (Modifiche alla disciplina del Patent box)</w:t>
            </w:r>
            <w:r w:rsidR="00CB2AB4">
              <w:rPr>
                <w:noProof/>
                <w:webHidden/>
              </w:rPr>
              <w:tab/>
            </w:r>
            <w:r w:rsidR="00CB2AB4">
              <w:rPr>
                <w:noProof/>
                <w:webHidden/>
              </w:rPr>
              <w:fldChar w:fldCharType="begin"/>
            </w:r>
            <w:r w:rsidR="00CB2AB4">
              <w:rPr>
                <w:noProof/>
                <w:webHidden/>
              </w:rPr>
              <w:instrText xml:space="preserve"> PAGEREF _Toc6937332 \h </w:instrText>
            </w:r>
            <w:r w:rsidR="00CB2AB4">
              <w:rPr>
                <w:noProof/>
                <w:webHidden/>
              </w:rPr>
            </w:r>
            <w:r w:rsidR="00CB2AB4">
              <w:rPr>
                <w:noProof/>
                <w:webHidden/>
              </w:rPr>
              <w:fldChar w:fldCharType="separate"/>
            </w:r>
            <w:r w:rsidR="00CB2AB4">
              <w:rPr>
                <w:noProof/>
                <w:webHidden/>
              </w:rPr>
              <w:t>7</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33" w:history="1">
            <w:r w:rsidR="00CB2AB4" w:rsidRPr="00C41E0C">
              <w:rPr>
                <w:rStyle w:val="Collegamentoipertestuale"/>
                <w:noProof/>
              </w:rPr>
              <w:t>Articolo 5 (Rientro dei cervelli)</w:t>
            </w:r>
            <w:r w:rsidR="00CB2AB4">
              <w:rPr>
                <w:noProof/>
                <w:webHidden/>
              </w:rPr>
              <w:tab/>
            </w:r>
            <w:r w:rsidR="00CB2AB4">
              <w:rPr>
                <w:noProof/>
                <w:webHidden/>
              </w:rPr>
              <w:fldChar w:fldCharType="begin"/>
            </w:r>
            <w:r w:rsidR="00CB2AB4">
              <w:rPr>
                <w:noProof/>
                <w:webHidden/>
              </w:rPr>
              <w:instrText xml:space="preserve"> PAGEREF _Toc6937333 \h </w:instrText>
            </w:r>
            <w:r w:rsidR="00CB2AB4">
              <w:rPr>
                <w:noProof/>
                <w:webHidden/>
              </w:rPr>
            </w:r>
            <w:r w:rsidR="00CB2AB4">
              <w:rPr>
                <w:noProof/>
                <w:webHidden/>
              </w:rPr>
              <w:fldChar w:fldCharType="separate"/>
            </w:r>
            <w:r w:rsidR="00CB2AB4">
              <w:rPr>
                <w:noProof/>
                <w:webHidden/>
              </w:rPr>
              <w:t>10</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34" w:history="1">
            <w:r w:rsidR="00CB2AB4" w:rsidRPr="00C41E0C">
              <w:rPr>
                <w:rStyle w:val="Collegamentoipertestuale"/>
                <w:noProof/>
              </w:rPr>
              <w:t>Articolo 6 (Modifiche al regime dei forfetari)</w:t>
            </w:r>
            <w:r w:rsidR="00CB2AB4">
              <w:rPr>
                <w:noProof/>
                <w:webHidden/>
              </w:rPr>
              <w:tab/>
            </w:r>
            <w:r w:rsidR="00CB2AB4">
              <w:rPr>
                <w:noProof/>
                <w:webHidden/>
              </w:rPr>
              <w:fldChar w:fldCharType="begin"/>
            </w:r>
            <w:r w:rsidR="00CB2AB4">
              <w:rPr>
                <w:noProof/>
                <w:webHidden/>
              </w:rPr>
              <w:instrText xml:space="preserve"> PAGEREF _Toc6937334 \h </w:instrText>
            </w:r>
            <w:r w:rsidR="00CB2AB4">
              <w:rPr>
                <w:noProof/>
                <w:webHidden/>
              </w:rPr>
            </w:r>
            <w:r w:rsidR="00CB2AB4">
              <w:rPr>
                <w:noProof/>
                <w:webHidden/>
              </w:rPr>
              <w:fldChar w:fldCharType="separate"/>
            </w:r>
            <w:r w:rsidR="00CB2AB4">
              <w:rPr>
                <w:noProof/>
                <w:webHidden/>
              </w:rPr>
              <w:t>13</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35" w:history="1">
            <w:r w:rsidR="00CB2AB4" w:rsidRPr="00C41E0C">
              <w:rPr>
                <w:rStyle w:val="Collegamentoipertestuale"/>
                <w:noProof/>
              </w:rPr>
              <w:t>Articolo 7 (Incentivi per la valorizzazione edilizia)</w:t>
            </w:r>
            <w:r w:rsidR="00CB2AB4">
              <w:rPr>
                <w:noProof/>
                <w:webHidden/>
              </w:rPr>
              <w:tab/>
            </w:r>
            <w:r w:rsidR="00CB2AB4">
              <w:rPr>
                <w:noProof/>
                <w:webHidden/>
              </w:rPr>
              <w:fldChar w:fldCharType="begin"/>
            </w:r>
            <w:r w:rsidR="00CB2AB4">
              <w:rPr>
                <w:noProof/>
                <w:webHidden/>
              </w:rPr>
              <w:instrText xml:space="preserve"> PAGEREF _Toc6937335 \h </w:instrText>
            </w:r>
            <w:r w:rsidR="00CB2AB4">
              <w:rPr>
                <w:noProof/>
                <w:webHidden/>
              </w:rPr>
            </w:r>
            <w:r w:rsidR="00CB2AB4">
              <w:rPr>
                <w:noProof/>
                <w:webHidden/>
              </w:rPr>
              <w:fldChar w:fldCharType="separate"/>
            </w:r>
            <w:r w:rsidR="00CB2AB4">
              <w:rPr>
                <w:noProof/>
                <w:webHidden/>
              </w:rPr>
              <w:t>14</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36" w:history="1">
            <w:r w:rsidR="00CB2AB4" w:rsidRPr="00C41E0C">
              <w:rPr>
                <w:rStyle w:val="Collegamentoipertestuale"/>
                <w:noProof/>
              </w:rPr>
              <w:t>Articolo 8 (Sisma bonus)</w:t>
            </w:r>
            <w:r w:rsidR="00CB2AB4">
              <w:rPr>
                <w:noProof/>
                <w:webHidden/>
              </w:rPr>
              <w:tab/>
            </w:r>
            <w:r w:rsidR="00CB2AB4">
              <w:rPr>
                <w:noProof/>
                <w:webHidden/>
              </w:rPr>
              <w:fldChar w:fldCharType="begin"/>
            </w:r>
            <w:r w:rsidR="00CB2AB4">
              <w:rPr>
                <w:noProof/>
                <w:webHidden/>
              </w:rPr>
              <w:instrText xml:space="preserve"> PAGEREF _Toc6937336 \h </w:instrText>
            </w:r>
            <w:r w:rsidR="00CB2AB4">
              <w:rPr>
                <w:noProof/>
                <w:webHidden/>
              </w:rPr>
            </w:r>
            <w:r w:rsidR="00CB2AB4">
              <w:rPr>
                <w:noProof/>
                <w:webHidden/>
              </w:rPr>
              <w:fldChar w:fldCharType="separate"/>
            </w:r>
            <w:r w:rsidR="00CB2AB4">
              <w:rPr>
                <w:noProof/>
                <w:webHidden/>
              </w:rPr>
              <w:t>15</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37" w:history="1">
            <w:r w:rsidR="00CB2AB4" w:rsidRPr="00C41E0C">
              <w:rPr>
                <w:rStyle w:val="Collegamentoipertestuale"/>
                <w:noProof/>
              </w:rPr>
              <w:t>Articolo 9 (Trattamento fiscale di strumenti finanziari convertibili)</w:t>
            </w:r>
            <w:r w:rsidR="00CB2AB4">
              <w:rPr>
                <w:noProof/>
                <w:webHidden/>
              </w:rPr>
              <w:tab/>
            </w:r>
            <w:r w:rsidR="00CB2AB4">
              <w:rPr>
                <w:noProof/>
                <w:webHidden/>
              </w:rPr>
              <w:fldChar w:fldCharType="begin"/>
            </w:r>
            <w:r w:rsidR="00CB2AB4">
              <w:rPr>
                <w:noProof/>
                <w:webHidden/>
              </w:rPr>
              <w:instrText xml:space="preserve"> PAGEREF _Toc6937337 \h </w:instrText>
            </w:r>
            <w:r w:rsidR="00CB2AB4">
              <w:rPr>
                <w:noProof/>
                <w:webHidden/>
              </w:rPr>
            </w:r>
            <w:r w:rsidR="00CB2AB4">
              <w:rPr>
                <w:noProof/>
                <w:webHidden/>
              </w:rPr>
              <w:fldChar w:fldCharType="separate"/>
            </w:r>
            <w:r w:rsidR="00CB2AB4">
              <w:rPr>
                <w:noProof/>
                <w:webHidden/>
              </w:rPr>
              <w:t>16</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38" w:history="1">
            <w:r w:rsidR="00CB2AB4" w:rsidRPr="00C41E0C">
              <w:rPr>
                <w:rStyle w:val="Collegamentoipertestuale"/>
                <w:noProof/>
              </w:rPr>
              <w:t>Articolo 10 (Modifiche alla disciplina degli incentivi per gli interventi di efficienza energetica e rischio sismico)</w:t>
            </w:r>
            <w:r w:rsidR="00CB2AB4">
              <w:rPr>
                <w:noProof/>
                <w:webHidden/>
              </w:rPr>
              <w:tab/>
            </w:r>
            <w:r w:rsidR="00CB2AB4">
              <w:rPr>
                <w:noProof/>
                <w:webHidden/>
              </w:rPr>
              <w:fldChar w:fldCharType="begin"/>
            </w:r>
            <w:r w:rsidR="00CB2AB4">
              <w:rPr>
                <w:noProof/>
                <w:webHidden/>
              </w:rPr>
              <w:instrText xml:space="preserve"> PAGEREF _Toc6937338 \h </w:instrText>
            </w:r>
            <w:r w:rsidR="00CB2AB4">
              <w:rPr>
                <w:noProof/>
                <w:webHidden/>
              </w:rPr>
            </w:r>
            <w:r w:rsidR="00CB2AB4">
              <w:rPr>
                <w:noProof/>
                <w:webHidden/>
              </w:rPr>
              <w:fldChar w:fldCharType="separate"/>
            </w:r>
            <w:r w:rsidR="00CB2AB4">
              <w:rPr>
                <w:noProof/>
                <w:webHidden/>
              </w:rPr>
              <w:t>19</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39" w:history="1">
            <w:r w:rsidR="00CB2AB4" w:rsidRPr="00C41E0C">
              <w:rPr>
                <w:rStyle w:val="Collegamentoipertestuale"/>
                <w:noProof/>
              </w:rPr>
              <w:t>Articolo 11 (Aggregazioni d’imprese)</w:t>
            </w:r>
            <w:r w:rsidR="00CB2AB4">
              <w:rPr>
                <w:noProof/>
                <w:webHidden/>
              </w:rPr>
              <w:tab/>
            </w:r>
            <w:r w:rsidR="00CB2AB4">
              <w:rPr>
                <w:noProof/>
                <w:webHidden/>
              </w:rPr>
              <w:fldChar w:fldCharType="begin"/>
            </w:r>
            <w:r w:rsidR="00CB2AB4">
              <w:rPr>
                <w:noProof/>
                <w:webHidden/>
              </w:rPr>
              <w:instrText xml:space="preserve"> PAGEREF _Toc6937339 \h </w:instrText>
            </w:r>
            <w:r w:rsidR="00CB2AB4">
              <w:rPr>
                <w:noProof/>
                <w:webHidden/>
              </w:rPr>
            </w:r>
            <w:r w:rsidR="00CB2AB4">
              <w:rPr>
                <w:noProof/>
                <w:webHidden/>
              </w:rPr>
              <w:fldChar w:fldCharType="separate"/>
            </w:r>
            <w:r w:rsidR="00CB2AB4">
              <w:rPr>
                <w:noProof/>
                <w:webHidden/>
              </w:rPr>
              <w:t>20</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40" w:history="1">
            <w:r w:rsidR="00CB2AB4" w:rsidRPr="00C41E0C">
              <w:rPr>
                <w:rStyle w:val="Collegamentoipertestuale"/>
                <w:noProof/>
              </w:rPr>
              <w:t>Articolo 12 (Fatturazione elettronica Repubblica di San Marino)</w:t>
            </w:r>
            <w:r w:rsidR="00CB2AB4">
              <w:rPr>
                <w:noProof/>
                <w:webHidden/>
              </w:rPr>
              <w:tab/>
            </w:r>
            <w:r w:rsidR="00CB2AB4">
              <w:rPr>
                <w:noProof/>
                <w:webHidden/>
              </w:rPr>
              <w:fldChar w:fldCharType="begin"/>
            </w:r>
            <w:r w:rsidR="00CB2AB4">
              <w:rPr>
                <w:noProof/>
                <w:webHidden/>
              </w:rPr>
              <w:instrText xml:space="preserve"> PAGEREF _Toc6937340 \h </w:instrText>
            </w:r>
            <w:r w:rsidR="00CB2AB4">
              <w:rPr>
                <w:noProof/>
                <w:webHidden/>
              </w:rPr>
            </w:r>
            <w:r w:rsidR="00CB2AB4">
              <w:rPr>
                <w:noProof/>
                <w:webHidden/>
              </w:rPr>
              <w:fldChar w:fldCharType="separate"/>
            </w:r>
            <w:r w:rsidR="00CB2AB4">
              <w:rPr>
                <w:noProof/>
                <w:webHidden/>
              </w:rPr>
              <w:t>21</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41" w:history="1">
            <w:r w:rsidR="00CB2AB4" w:rsidRPr="00C41E0C">
              <w:rPr>
                <w:rStyle w:val="Collegamentoipertestuale"/>
                <w:noProof/>
              </w:rPr>
              <w:t>Articolo 13 (Vendita di beni tramite piattaforme digitali)</w:t>
            </w:r>
            <w:r w:rsidR="00CB2AB4">
              <w:rPr>
                <w:noProof/>
                <w:webHidden/>
              </w:rPr>
              <w:tab/>
            </w:r>
            <w:r w:rsidR="00CB2AB4">
              <w:rPr>
                <w:noProof/>
                <w:webHidden/>
              </w:rPr>
              <w:fldChar w:fldCharType="begin"/>
            </w:r>
            <w:r w:rsidR="00CB2AB4">
              <w:rPr>
                <w:noProof/>
                <w:webHidden/>
              </w:rPr>
              <w:instrText xml:space="preserve"> PAGEREF _Toc6937341 \h </w:instrText>
            </w:r>
            <w:r w:rsidR="00CB2AB4">
              <w:rPr>
                <w:noProof/>
                <w:webHidden/>
              </w:rPr>
            </w:r>
            <w:r w:rsidR="00CB2AB4">
              <w:rPr>
                <w:noProof/>
                <w:webHidden/>
              </w:rPr>
              <w:fldChar w:fldCharType="separate"/>
            </w:r>
            <w:r w:rsidR="00CB2AB4">
              <w:rPr>
                <w:noProof/>
                <w:webHidden/>
              </w:rPr>
              <w:t>22</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42" w:history="1">
            <w:r w:rsidR="00CB2AB4" w:rsidRPr="00C41E0C">
              <w:rPr>
                <w:rStyle w:val="Collegamentoipertestuale"/>
                <w:noProof/>
              </w:rPr>
              <w:t>Articolo 14 (Enti Associativi Assistenziali)</w:t>
            </w:r>
            <w:r w:rsidR="00CB2AB4">
              <w:rPr>
                <w:noProof/>
                <w:webHidden/>
              </w:rPr>
              <w:tab/>
            </w:r>
            <w:r w:rsidR="00CB2AB4">
              <w:rPr>
                <w:noProof/>
                <w:webHidden/>
              </w:rPr>
              <w:fldChar w:fldCharType="begin"/>
            </w:r>
            <w:r w:rsidR="00CB2AB4">
              <w:rPr>
                <w:noProof/>
                <w:webHidden/>
              </w:rPr>
              <w:instrText xml:space="preserve"> PAGEREF _Toc6937342 \h </w:instrText>
            </w:r>
            <w:r w:rsidR="00CB2AB4">
              <w:rPr>
                <w:noProof/>
                <w:webHidden/>
              </w:rPr>
            </w:r>
            <w:r w:rsidR="00CB2AB4">
              <w:rPr>
                <w:noProof/>
                <w:webHidden/>
              </w:rPr>
              <w:fldChar w:fldCharType="separate"/>
            </w:r>
            <w:r w:rsidR="00CB2AB4">
              <w:rPr>
                <w:noProof/>
                <w:webHidden/>
              </w:rPr>
              <w:t>24</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43" w:history="1">
            <w:r w:rsidR="00CB2AB4" w:rsidRPr="00C41E0C">
              <w:rPr>
                <w:rStyle w:val="Collegamentoipertestuale"/>
                <w:noProof/>
              </w:rPr>
              <w:t>Articolo 15 (Estensione della definizione agevolata delle entrate regionali e degli enti locali)</w:t>
            </w:r>
            <w:r w:rsidR="00CB2AB4">
              <w:rPr>
                <w:noProof/>
                <w:webHidden/>
              </w:rPr>
              <w:tab/>
            </w:r>
            <w:r w:rsidR="00CB2AB4">
              <w:rPr>
                <w:noProof/>
                <w:webHidden/>
              </w:rPr>
              <w:fldChar w:fldCharType="begin"/>
            </w:r>
            <w:r w:rsidR="00CB2AB4">
              <w:rPr>
                <w:noProof/>
                <w:webHidden/>
              </w:rPr>
              <w:instrText xml:space="preserve"> PAGEREF _Toc6937343 \h </w:instrText>
            </w:r>
            <w:r w:rsidR="00CB2AB4">
              <w:rPr>
                <w:noProof/>
                <w:webHidden/>
              </w:rPr>
            </w:r>
            <w:r w:rsidR="00CB2AB4">
              <w:rPr>
                <w:noProof/>
                <w:webHidden/>
              </w:rPr>
              <w:fldChar w:fldCharType="separate"/>
            </w:r>
            <w:r w:rsidR="00CB2AB4">
              <w:rPr>
                <w:noProof/>
                <w:webHidden/>
              </w:rPr>
              <w:t>25</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44" w:history="1">
            <w:r w:rsidR="00CB2AB4" w:rsidRPr="00C41E0C">
              <w:rPr>
                <w:rStyle w:val="Collegamentoipertestuale"/>
                <w:noProof/>
              </w:rPr>
              <w:t>Articolo 16 (Credito d’imposta per le commissioni riferite a pagamenti elettronici da parte di distributori di carburante)</w:t>
            </w:r>
            <w:r w:rsidR="00CB2AB4">
              <w:rPr>
                <w:noProof/>
                <w:webHidden/>
              </w:rPr>
              <w:tab/>
            </w:r>
            <w:r w:rsidR="00CB2AB4">
              <w:rPr>
                <w:noProof/>
                <w:webHidden/>
              </w:rPr>
              <w:fldChar w:fldCharType="begin"/>
            </w:r>
            <w:r w:rsidR="00CB2AB4">
              <w:rPr>
                <w:noProof/>
                <w:webHidden/>
              </w:rPr>
              <w:instrText xml:space="preserve"> PAGEREF _Toc6937344 \h </w:instrText>
            </w:r>
            <w:r w:rsidR="00CB2AB4">
              <w:rPr>
                <w:noProof/>
                <w:webHidden/>
              </w:rPr>
            </w:r>
            <w:r w:rsidR="00CB2AB4">
              <w:rPr>
                <w:noProof/>
                <w:webHidden/>
              </w:rPr>
              <w:fldChar w:fldCharType="separate"/>
            </w:r>
            <w:r w:rsidR="00CB2AB4">
              <w:rPr>
                <w:noProof/>
                <w:webHidden/>
              </w:rPr>
              <w:t>26</w:t>
            </w:r>
            <w:r w:rsidR="00CB2AB4">
              <w:rPr>
                <w:noProof/>
                <w:webHidden/>
              </w:rPr>
              <w:fldChar w:fldCharType="end"/>
            </w:r>
          </w:hyperlink>
        </w:p>
        <w:p w:rsidR="00CB2AB4" w:rsidRDefault="00C73D39">
          <w:pPr>
            <w:pStyle w:val="Sommario1"/>
            <w:tabs>
              <w:tab w:val="right" w:leader="dot" w:pos="9769"/>
            </w:tabs>
            <w:rPr>
              <w:rFonts w:eastAsiaTheme="minorEastAsia"/>
              <w:b w:val="0"/>
              <w:bCs w:val="0"/>
              <w:caps w:val="0"/>
              <w:noProof/>
              <w:color w:val="auto"/>
              <w:sz w:val="22"/>
              <w:szCs w:val="22"/>
              <w:lang w:eastAsia="it-IT"/>
            </w:rPr>
          </w:pPr>
          <w:hyperlink w:anchor="_Toc6937345" w:history="1">
            <w:r w:rsidR="00CB2AB4" w:rsidRPr="00C41E0C">
              <w:rPr>
                <w:rStyle w:val="Collegamentoipertestuale"/>
                <w:rFonts w:cs="Times New Roman"/>
                <w:noProof/>
              </w:rPr>
              <w:t>Capo II Misure per il rilancio degli investimenti privati</w:t>
            </w:r>
            <w:r w:rsidR="00CB2AB4">
              <w:rPr>
                <w:noProof/>
                <w:webHidden/>
              </w:rPr>
              <w:tab/>
            </w:r>
            <w:r w:rsidR="00CB2AB4">
              <w:rPr>
                <w:noProof/>
                <w:webHidden/>
              </w:rPr>
              <w:fldChar w:fldCharType="begin"/>
            </w:r>
            <w:r w:rsidR="00CB2AB4">
              <w:rPr>
                <w:noProof/>
                <w:webHidden/>
              </w:rPr>
              <w:instrText xml:space="preserve"> PAGEREF _Toc6937345 \h </w:instrText>
            </w:r>
            <w:r w:rsidR="00CB2AB4">
              <w:rPr>
                <w:noProof/>
                <w:webHidden/>
              </w:rPr>
            </w:r>
            <w:r w:rsidR="00CB2AB4">
              <w:rPr>
                <w:noProof/>
                <w:webHidden/>
              </w:rPr>
              <w:fldChar w:fldCharType="separate"/>
            </w:r>
            <w:r w:rsidR="00CB2AB4">
              <w:rPr>
                <w:noProof/>
                <w:webHidden/>
              </w:rPr>
              <w:t>27</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46" w:history="1">
            <w:r w:rsidR="00CB2AB4" w:rsidRPr="00C41E0C">
              <w:rPr>
                <w:rStyle w:val="Collegamentoipertestuale"/>
                <w:noProof/>
              </w:rPr>
              <w:t>Articolo 17 (Garanzia sviluppo media impresa)</w:t>
            </w:r>
            <w:r w:rsidR="00CB2AB4">
              <w:rPr>
                <w:noProof/>
                <w:webHidden/>
              </w:rPr>
              <w:tab/>
            </w:r>
            <w:r w:rsidR="00CB2AB4">
              <w:rPr>
                <w:noProof/>
                <w:webHidden/>
              </w:rPr>
              <w:fldChar w:fldCharType="begin"/>
            </w:r>
            <w:r w:rsidR="00CB2AB4">
              <w:rPr>
                <w:noProof/>
                <w:webHidden/>
              </w:rPr>
              <w:instrText xml:space="preserve"> PAGEREF _Toc6937346 \h </w:instrText>
            </w:r>
            <w:r w:rsidR="00CB2AB4">
              <w:rPr>
                <w:noProof/>
                <w:webHidden/>
              </w:rPr>
            </w:r>
            <w:r w:rsidR="00CB2AB4">
              <w:rPr>
                <w:noProof/>
                <w:webHidden/>
              </w:rPr>
              <w:fldChar w:fldCharType="separate"/>
            </w:r>
            <w:r w:rsidR="00CB2AB4">
              <w:rPr>
                <w:noProof/>
                <w:webHidden/>
              </w:rPr>
              <w:t>27</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47" w:history="1">
            <w:r w:rsidR="00CB2AB4" w:rsidRPr="00C41E0C">
              <w:rPr>
                <w:rStyle w:val="Collegamentoipertestuale"/>
                <w:noProof/>
              </w:rPr>
              <w:t>Articolo 18 (Norme in materia di semplificazione per la gestione del Fondo di garanzia per le PMI)</w:t>
            </w:r>
            <w:r w:rsidR="00CB2AB4">
              <w:rPr>
                <w:noProof/>
                <w:webHidden/>
              </w:rPr>
              <w:tab/>
            </w:r>
            <w:r w:rsidR="00CB2AB4">
              <w:rPr>
                <w:noProof/>
                <w:webHidden/>
              </w:rPr>
              <w:fldChar w:fldCharType="begin"/>
            </w:r>
            <w:r w:rsidR="00CB2AB4">
              <w:rPr>
                <w:noProof/>
                <w:webHidden/>
              </w:rPr>
              <w:instrText xml:space="preserve"> PAGEREF _Toc6937347 \h </w:instrText>
            </w:r>
            <w:r w:rsidR="00CB2AB4">
              <w:rPr>
                <w:noProof/>
                <w:webHidden/>
              </w:rPr>
            </w:r>
            <w:r w:rsidR="00CB2AB4">
              <w:rPr>
                <w:noProof/>
                <w:webHidden/>
              </w:rPr>
              <w:fldChar w:fldCharType="separate"/>
            </w:r>
            <w:r w:rsidR="00CB2AB4">
              <w:rPr>
                <w:noProof/>
                <w:webHidden/>
              </w:rPr>
              <w:t>28</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48" w:history="1">
            <w:r w:rsidR="00CB2AB4" w:rsidRPr="00C41E0C">
              <w:rPr>
                <w:rStyle w:val="Collegamentoipertestuale"/>
                <w:noProof/>
              </w:rPr>
              <w:t>Articolo 19 (Rifinanziamento del Fondo di garanzia per la prima casa)</w:t>
            </w:r>
            <w:r w:rsidR="00CB2AB4">
              <w:rPr>
                <w:noProof/>
                <w:webHidden/>
              </w:rPr>
              <w:tab/>
            </w:r>
            <w:r w:rsidR="00CB2AB4">
              <w:rPr>
                <w:noProof/>
                <w:webHidden/>
              </w:rPr>
              <w:fldChar w:fldCharType="begin"/>
            </w:r>
            <w:r w:rsidR="00CB2AB4">
              <w:rPr>
                <w:noProof/>
                <w:webHidden/>
              </w:rPr>
              <w:instrText xml:space="preserve"> PAGEREF _Toc6937348 \h </w:instrText>
            </w:r>
            <w:r w:rsidR="00CB2AB4">
              <w:rPr>
                <w:noProof/>
                <w:webHidden/>
              </w:rPr>
            </w:r>
            <w:r w:rsidR="00CB2AB4">
              <w:rPr>
                <w:noProof/>
                <w:webHidden/>
              </w:rPr>
              <w:fldChar w:fldCharType="separate"/>
            </w:r>
            <w:r w:rsidR="00CB2AB4">
              <w:rPr>
                <w:noProof/>
                <w:webHidden/>
              </w:rPr>
              <w:t>30</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49" w:history="1">
            <w:r w:rsidR="00CB2AB4" w:rsidRPr="00C41E0C">
              <w:rPr>
                <w:rStyle w:val="Collegamentoipertestuale"/>
                <w:noProof/>
              </w:rPr>
              <w:t>Articolo 20 (Modifiche alla misura Nuova Sabatini)</w:t>
            </w:r>
            <w:r w:rsidR="00CB2AB4">
              <w:rPr>
                <w:noProof/>
                <w:webHidden/>
              </w:rPr>
              <w:tab/>
            </w:r>
            <w:r w:rsidR="00CB2AB4">
              <w:rPr>
                <w:noProof/>
                <w:webHidden/>
              </w:rPr>
              <w:fldChar w:fldCharType="begin"/>
            </w:r>
            <w:r w:rsidR="00CB2AB4">
              <w:rPr>
                <w:noProof/>
                <w:webHidden/>
              </w:rPr>
              <w:instrText xml:space="preserve"> PAGEREF _Toc6937349 \h </w:instrText>
            </w:r>
            <w:r w:rsidR="00CB2AB4">
              <w:rPr>
                <w:noProof/>
                <w:webHidden/>
              </w:rPr>
            </w:r>
            <w:r w:rsidR="00CB2AB4">
              <w:rPr>
                <w:noProof/>
                <w:webHidden/>
              </w:rPr>
              <w:fldChar w:fldCharType="separate"/>
            </w:r>
            <w:r w:rsidR="00CB2AB4">
              <w:rPr>
                <w:noProof/>
                <w:webHidden/>
              </w:rPr>
              <w:t>31</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50" w:history="1">
            <w:r w:rsidR="00CB2AB4" w:rsidRPr="00C41E0C">
              <w:rPr>
                <w:rStyle w:val="Collegamentoipertestuale"/>
                <w:noProof/>
              </w:rPr>
              <w:t>Articolo 21 (Sostegno alla capitalizzazione)</w:t>
            </w:r>
            <w:r w:rsidR="00CB2AB4">
              <w:rPr>
                <w:noProof/>
                <w:webHidden/>
              </w:rPr>
              <w:tab/>
            </w:r>
            <w:r w:rsidR="00CB2AB4">
              <w:rPr>
                <w:noProof/>
                <w:webHidden/>
              </w:rPr>
              <w:fldChar w:fldCharType="begin"/>
            </w:r>
            <w:r w:rsidR="00CB2AB4">
              <w:rPr>
                <w:noProof/>
                <w:webHidden/>
              </w:rPr>
              <w:instrText xml:space="preserve"> PAGEREF _Toc6937350 \h </w:instrText>
            </w:r>
            <w:r w:rsidR="00CB2AB4">
              <w:rPr>
                <w:noProof/>
                <w:webHidden/>
              </w:rPr>
            </w:r>
            <w:r w:rsidR="00CB2AB4">
              <w:rPr>
                <w:noProof/>
                <w:webHidden/>
              </w:rPr>
              <w:fldChar w:fldCharType="separate"/>
            </w:r>
            <w:r w:rsidR="00CB2AB4">
              <w:rPr>
                <w:noProof/>
                <w:webHidden/>
              </w:rPr>
              <w:t>32</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51" w:history="1">
            <w:r w:rsidR="00CB2AB4" w:rsidRPr="00C41E0C">
              <w:rPr>
                <w:rStyle w:val="Collegamentoipertestuale"/>
                <w:noProof/>
              </w:rPr>
              <w:t>Articolo 22 (Tempi di pagamento tra le imprese)</w:t>
            </w:r>
            <w:r w:rsidR="00CB2AB4">
              <w:rPr>
                <w:noProof/>
                <w:webHidden/>
              </w:rPr>
              <w:tab/>
            </w:r>
            <w:r w:rsidR="00CB2AB4">
              <w:rPr>
                <w:noProof/>
                <w:webHidden/>
              </w:rPr>
              <w:fldChar w:fldCharType="begin"/>
            </w:r>
            <w:r w:rsidR="00CB2AB4">
              <w:rPr>
                <w:noProof/>
                <w:webHidden/>
              </w:rPr>
              <w:instrText xml:space="preserve"> PAGEREF _Toc6937351 \h </w:instrText>
            </w:r>
            <w:r w:rsidR="00CB2AB4">
              <w:rPr>
                <w:noProof/>
                <w:webHidden/>
              </w:rPr>
            </w:r>
            <w:r w:rsidR="00CB2AB4">
              <w:rPr>
                <w:noProof/>
                <w:webHidden/>
              </w:rPr>
              <w:fldChar w:fldCharType="separate"/>
            </w:r>
            <w:r w:rsidR="00CB2AB4">
              <w:rPr>
                <w:noProof/>
                <w:webHidden/>
              </w:rPr>
              <w:t>33</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52" w:history="1">
            <w:r w:rsidR="00CB2AB4" w:rsidRPr="00C41E0C">
              <w:rPr>
                <w:rStyle w:val="Collegamentoipertestuale"/>
                <w:noProof/>
              </w:rPr>
              <w:t>Articolo 23 (Cartolarizzazioni)</w:t>
            </w:r>
            <w:r w:rsidR="00CB2AB4">
              <w:rPr>
                <w:noProof/>
                <w:webHidden/>
              </w:rPr>
              <w:tab/>
            </w:r>
            <w:r w:rsidR="00CB2AB4">
              <w:rPr>
                <w:noProof/>
                <w:webHidden/>
              </w:rPr>
              <w:fldChar w:fldCharType="begin"/>
            </w:r>
            <w:r w:rsidR="00CB2AB4">
              <w:rPr>
                <w:noProof/>
                <w:webHidden/>
              </w:rPr>
              <w:instrText xml:space="preserve"> PAGEREF _Toc6937352 \h </w:instrText>
            </w:r>
            <w:r w:rsidR="00CB2AB4">
              <w:rPr>
                <w:noProof/>
                <w:webHidden/>
              </w:rPr>
            </w:r>
            <w:r w:rsidR="00CB2AB4">
              <w:rPr>
                <w:noProof/>
                <w:webHidden/>
              </w:rPr>
              <w:fldChar w:fldCharType="separate"/>
            </w:r>
            <w:r w:rsidR="00CB2AB4">
              <w:rPr>
                <w:noProof/>
                <w:webHidden/>
              </w:rPr>
              <w:t>33</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53" w:history="1">
            <w:r w:rsidR="00CB2AB4" w:rsidRPr="00C41E0C">
              <w:rPr>
                <w:rStyle w:val="Collegamentoipertestuale"/>
                <w:noProof/>
              </w:rPr>
              <w:t>Articolo 24 (Sblocca investimenti idrici nel sud)</w:t>
            </w:r>
            <w:r w:rsidR="00CB2AB4">
              <w:rPr>
                <w:noProof/>
                <w:webHidden/>
              </w:rPr>
              <w:tab/>
            </w:r>
            <w:r w:rsidR="00CB2AB4">
              <w:rPr>
                <w:noProof/>
                <w:webHidden/>
              </w:rPr>
              <w:fldChar w:fldCharType="begin"/>
            </w:r>
            <w:r w:rsidR="00CB2AB4">
              <w:rPr>
                <w:noProof/>
                <w:webHidden/>
              </w:rPr>
              <w:instrText xml:space="preserve"> PAGEREF _Toc6937353 \h </w:instrText>
            </w:r>
            <w:r w:rsidR="00CB2AB4">
              <w:rPr>
                <w:noProof/>
                <w:webHidden/>
              </w:rPr>
            </w:r>
            <w:r w:rsidR="00CB2AB4">
              <w:rPr>
                <w:noProof/>
                <w:webHidden/>
              </w:rPr>
              <w:fldChar w:fldCharType="separate"/>
            </w:r>
            <w:r w:rsidR="00CB2AB4">
              <w:rPr>
                <w:noProof/>
                <w:webHidden/>
              </w:rPr>
              <w:t>38</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54" w:history="1">
            <w:r w:rsidR="00CB2AB4" w:rsidRPr="00C41E0C">
              <w:rPr>
                <w:rStyle w:val="Collegamentoipertestuale"/>
                <w:noProof/>
              </w:rPr>
              <w:t>Articolo 25 (Dismissioni immobiliari enti territoriali)</w:t>
            </w:r>
            <w:r w:rsidR="00CB2AB4">
              <w:rPr>
                <w:noProof/>
                <w:webHidden/>
              </w:rPr>
              <w:tab/>
            </w:r>
            <w:r w:rsidR="00CB2AB4">
              <w:rPr>
                <w:noProof/>
                <w:webHidden/>
              </w:rPr>
              <w:fldChar w:fldCharType="begin"/>
            </w:r>
            <w:r w:rsidR="00CB2AB4">
              <w:rPr>
                <w:noProof/>
                <w:webHidden/>
              </w:rPr>
              <w:instrText xml:space="preserve"> PAGEREF _Toc6937354 \h </w:instrText>
            </w:r>
            <w:r w:rsidR="00CB2AB4">
              <w:rPr>
                <w:noProof/>
                <w:webHidden/>
              </w:rPr>
            </w:r>
            <w:r w:rsidR="00CB2AB4">
              <w:rPr>
                <w:noProof/>
                <w:webHidden/>
              </w:rPr>
              <w:fldChar w:fldCharType="separate"/>
            </w:r>
            <w:r w:rsidR="00CB2AB4">
              <w:rPr>
                <w:noProof/>
                <w:webHidden/>
              </w:rPr>
              <w:t>40</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55" w:history="1">
            <w:r w:rsidR="00CB2AB4" w:rsidRPr="00C41E0C">
              <w:rPr>
                <w:rStyle w:val="Collegamentoipertestuale"/>
                <w:noProof/>
              </w:rPr>
              <w:t>Articolo 26 (Agevolazioni a sostegno di progetti di ricerca e sviluppo per la riconversione dei processi produttivi nell’ambito dell’economia circolare)</w:t>
            </w:r>
            <w:r w:rsidR="00CB2AB4">
              <w:rPr>
                <w:noProof/>
                <w:webHidden/>
              </w:rPr>
              <w:tab/>
            </w:r>
            <w:r w:rsidR="00CB2AB4">
              <w:rPr>
                <w:noProof/>
                <w:webHidden/>
              </w:rPr>
              <w:fldChar w:fldCharType="begin"/>
            </w:r>
            <w:r w:rsidR="00CB2AB4">
              <w:rPr>
                <w:noProof/>
                <w:webHidden/>
              </w:rPr>
              <w:instrText xml:space="preserve"> PAGEREF _Toc6937355 \h </w:instrText>
            </w:r>
            <w:r w:rsidR="00CB2AB4">
              <w:rPr>
                <w:noProof/>
                <w:webHidden/>
              </w:rPr>
            </w:r>
            <w:r w:rsidR="00CB2AB4">
              <w:rPr>
                <w:noProof/>
                <w:webHidden/>
              </w:rPr>
              <w:fldChar w:fldCharType="separate"/>
            </w:r>
            <w:r w:rsidR="00CB2AB4">
              <w:rPr>
                <w:noProof/>
                <w:webHidden/>
              </w:rPr>
              <w:t>40</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56" w:history="1">
            <w:r w:rsidR="00CB2AB4" w:rsidRPr="00C41E0C">
              <w:rPr>
                <w:rStyle w:val="Collegamentoipertestuale"/>
                <w:noProof/>
              </w:rPr>
              <w:t>Articolo. 27 (Società di investimento semplice - SIS)</w:t>
            </w:r>
            <w:r w:rsidR="00CB2AB4">
              <w:rPr>
                <w:noProof/>
                <w:webHidden/>
              </w:rPr>
              <w:tab/>
            </w:r>
            <w:r w:rsidR="00CB2AB4">
              <w:rPr>
                <w:noProof/>
                <w:webHidden/>
              </w:rPr>
              <w:fldChar w:fldCharType="begin"/>
            </w:r>
            <w:r w:rsidR="00CB2AB4">
              <w:rPr>
                <w:noProof/>
                <w:webHidden/>
              </w:rPr>
              <w:instrText xml:space="preserve"> PAGEREF _Toc6937356 \h </w:instrText>
            </w:r>
            <w:r w:rsidR="00CB2AB4">
              <w:rPr>
                <w:noProof/>
                <w:webHidden/>
              </w:rPr>
            </w:r>
            <w:r w:rsidR="00CB2AB4">
              <w:rPr>
                <w:noProof/>
                <w:webHidden/>
              </w:rPr>
              <w:fldChar w:fldCharType="separate"/>
            </w:r>
            <w:r w:rsidR="00CB2AB4">
              <w:rPr>
                <w:noProof/>
                <w:webHidden/>
              </w:rPr>
              <w:t>42</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57" w:history="1">
            <w:r w:rsidR="00CB2AB4" w:rsidRPr="00C41E0C">
              <w:rPr>
                <w:rStyle w:val="Collegamentoipertestuale"/>
                <w:noProof/>
              </w:rPr>
              <w:t>Articolo 28 (Semplificazioni per la definizione dei patti territoriali e dei contratti d’area)</w:t>
            </w:r>
            <w:r w:rsidR="00CB2AB4">
              <w:rPr>
                <w:noProof/>
                <w:webHidden/>
              </w:rPr>
              <w:tab/>
            </w:r>
            <w:r w:rsidR="00CB2AB4">
              <w:rPr>
                <w:noProof/>
                <w:webHidden/>
              </w:rPr>
              <w:fldChar w:fldCharType="begin"/>
            </w:r>
            <w:r w:rsidR="00CB2AB4">
              <w:rPr>
                <w:noProof/>
                <w:webHidden/>
              </w:rPr>
              <w:instrText xml:space="preserve"> PAGEREF _Toc6937357 \h </w:instrText>
            </w:r>
            <w:r w:rsidR="00CB2AB4">
              <w:rPr>
                <w:noProof/>
                <w:webHidden/>
              </w:rPr>
            </w:r>
            <w:r w:rsidR="00CB2AB4">
              <w:rPr>
                <w:noProof/>
                <w:webHidden/>
              </w:rPr>
              <w:fldChar w:fldCharType="separate"/>
            </w:r>
            <w:r w:rsidR="00CB2AB4">
              <w:rPr>
                <w:noProof/>
                <w:webHidden/>
              </w:rPr>
              <w:t>44</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58" w:history="1">
            <w:r w:rsidR="00CB2AB4" w:rsidRPr="00C41E0C">
              <w:rPr>
                <w:rStyle w:val="Collegamentoipertestuale"/>
                <w:noProof/>
              </w:rPr>
              <w:t>Articolo 29 (Nuove imprese a tasso zero, Smart &amp; Start e Digital Transformation)</w:t>
            </w:r>
            <w:r w:rsidR="00CB2AB4">
              <w:rPr>
                <w:noProof/>
                <w:webHidden/>
              </w:rPr>
              <w:tab/>
            </w:r>
            <w:r w:rsidR="00CB2AB4">
              <w:rPr>
                <w:noProof/>
                <w:webHidden/>
              </w:rPr>
              <w:fldChar w:fldCharType="begin"/>
            </w:r>
            <w:r w:rsidR="00CB2AB4">
              <w:rPr>
                <w:noProof/>
                <w:webHidden/>
              </w:rPr>
              <w:instrText xml:space="preserve"> PAGEREF _Toc6937358 \h </w:instrText>
            </w:r>
            <w:r w:rsidR="00CB2AB4">
              <w:rPr>
                <w:noProof/>
                <w:webHidden/>
              </w:rPr>
            </w:r>
            <w:r w:rsidR="00CB2AB4">
              <w:rPr>
                <w:noProof/>
                <w:webHidden/>
              </w:rPr>
              <w:fldChar w:fldCharType="separate"/>
            </w:r>
            <w:r w:rsidR="00CB2AB4">
              <w:rPr>
                <w:noProof/>
                <w:webHidden/>
              </w:rPr>
              <w:t>46</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59" w:history="1">
            <w:r w:rsidR="00CB2AB4" w:rsidRPr="00C41E0C">
              <w:rPr>
                <w:rStyle w:val="Collegamentoipertestuale"/>
                <w:noProof/>
              </w:rPr>
              <w:t>Articolo 30 (Contributi ai comuni per interventi di efficientamento energetico e sviluppo territoriale sostenibile)</w:t>
            </w:r>
            <w:r w:rsidR="00CB2AB4">
              <w:rPr>
                <w:noProof/>
                <w:webHidden/>
              </w:rPr>
              <w:tab/>
            </w:r>
            <w:r w:rsidR="00CB2AB4">
              <w:rPr>
                <w:noProof/>
                <w:webHidden/>
              </w:rPr>
              <w:fldChar w:fldCharType="begin"/>
            </w:r>
            <w:r w:rsidR="00CB2AB4">
              <w:rPr>
                <w:noProof/>
                <w:webHidden/>
              </w:rPr>
              <w:instrText xml:space="preserve"> PAGEREF _Toc6937359 \h </w:instrText>
            </w:r>
            <w:r w:rsidR="00CB2AB4">
              <w:rPr>
                <w:noProof/>
                <w:webHidden/>
              </w:rPr>
            </w:r>
            <w:r w:rsidR="00CB2AB4">
              <w:rPr>
                <w:noProof/>
                <w:webHidden/>
              </w:rPr>
              <w:fldChar w:fldCharType="separate"/>
            </w:r>
            <w:r w:rsidR="00CB2AB4">
              <w:rPr>
                <w:noProof/>
                <w:webHidden/>
              </w:rPr>
              <w:t>52</w:t>
            </w:r>
            <w:r w:rsidR="00CB2AB4">
              <w:rPr>
                <w:noProof/>
                <w:webHidden/>
              </w:rPr>
              <w:fldChar w:fldCharType="end"/>
            </w:r>
          </w:hyperlink>
        </w:p>
        <w:p w:rsidR="00CB2AB4" w:rsidRDefault="00C73D39">
          <w:pPr>
            <w:pStyle w:val="Sommario1"/>
            <w:tabs>
              <w:tab w:val="right" w:leader="dot" w:pos="9769"/>
            </w:tabs>
            <w:rPr>
              <w:rFonts w:eastAsiaTheme="minorEastAsia"/>
              <w:b w:val="0"/>
              <w:bCs w:val="0"/>
              <w:caps w:val="0"/>
              <w:noProof/>
              <w:color w:val="auto"/>
              <w:sz w:val="22"/>
              <w:szCs w:val="22"/>
              <w:lang w:eastAsia="it-IT"/>
            </w:rPr>
          </w:pPr>
          <w:hyperlink w:anchor="_Toc6937360" w:history="1">
            <w:r w:rsidR="00CB2AB4" w:rsidRPr="00C41E0C">
              <w:rPr>
                <w:rStyle w:val="Collegamentoipertestuale"/>
                <w:rFonts w:eastAsia="Times New Roman"/>
                <w:noProof/>
              </w:rPr>
              <w:t xml:space="preserve">CAPO III TUTELA DEL </w:t>
            </w:r>
            <w:r w:rsidR="00CB2AB4" w:rsidRPr="00C41E0C">
              <w:rPr>
                <w:rStyle w:val="Collegamentoipertestuale"/>
                <w:rFonts w:eastAsia="Times New Roman"/>
                <w:i/>
                <w:noProof/>
              </w:rPr>
              <w:t>MADE IN ITALY</w:t>
            </w:r>
            <w:r w:rsidR="00CB2AB4">
              <w:rPr>
                <w:noProof/>
                <w:webHidden/>
              </w:rPr>
              <w:tab/>
            </w:r>
            <w:r w:rsidR="00CB2AB4">
              <w:rPr>
                <w:noProof/>
                <w:webHidden/>
              </w:rPr>
              <w:fldChar w:fldCharType="begin"/>
            </w:r>
            <w:r w:rsidR="00CB2AB4">
              <w:rPr>
                <w:noProof/>
                <w:webHidden/>
              </w:rPr>
              <w:instrText xml:space="preserve"> PAGEREF _Toc6937360 \h </w:instrText>
            </w:r>
            <w:r w:rsidR="00CB2AB4">
              <w:rPr>
                <w:noProof/>
                <w:webHidden/>
              </w:rPr>
            </w:r>
            <w:r w:rsidR="00CB2AB4">
              <w:rPr>
                <w:noProof/>
                <w:webHidden/>
              </w:rPr>
              <w:fldChar w:fldCharType="separate"/>
            </w:r>
            <w:r w:rsidR="00CB2AB4">
              <w:rPr>
                <w:noProof/>
                <w:webHidden/>
              </w:rPr>
              <w:t>53</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61" w:history="1">
            <w:r w:rsidR="00CB2AB4" w:rsidRPr="00C41E0C">
              <w:rPr>
                <w:rStyle w:val="Collegamentoipertestuale"/>
                <w:noProof/>
                <w:highlight w:val="yellow"/>
              </w:rPr>
              <w:t>Articolo 31 (Marchi storici)</w:t>
            </w:r>
            <w:r w:rsidR="00CB2AB4">
              <w:rPr>
                <w:noProof/>
                <w:webHidden/>
              </w:rPr>
              <w:tab/>
            </w:r>
            <w:r w:rsidR="00CB2AB4">
              <w:rPr>
                <w:noProof/>
                <w:webHidden/>
              </w:rPr>
              <w:fldChar w:fldCharType="begin"/>
            </w:r>
            <w:r w:rsidR="00CB2AB4">
              <w:rPr>
                <w:noProof/>
                <w:webHidden/>
              </w:rPr>
              <w:instrText xml:space="preserve"> PAGEREF _Toc6937361 \h </w:instrText>
            </w:r>
            <w:r w:rsidR="00CB2AB4">
              <w:rPr>
                <w:noProof/>
                <w:webHidden/>
              </w:rPr>
            </w:r>
            <w:r w:rsidR="00CB2AB4">
              <w:rPr>
                <w:noProof/>
                <w:webHidden/>
              </w:rPr>
              <w:fldChar w:fldCharType="separate"/>
            </w:r>
            <w:r w:rsidR="00CB2AB4">
              <w:rPr>
                <w:noProof/>
                <w:webHidden/>
              </w:rPr>
              <w:t>53</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62" w:history="1">
            <w:r w:rsidR="00CB2AB4" w:rsidRPr="00C41E0C">
              <w:rPr>
                <w:rStyle w:val="Collegamentoipertestuale"/>
                <w:noProof/>
              </w:rPr>
              <w:t>Articolo 32 (Contrasto all’Italian sounding e incentivi al deposito di brevetti e marchi)</w:t>
            </w:r>
            <w:r w:rsidR="00CB2AB4">
              <w:rPr>
                <w:noProof/>
                <w:webHidden/>
              </w:rPr>
              <w:tab/>
            </w:r>
            <w:r w:rsidR="00CB2AB4">
              <w:rPr>
                <w:noProof/>
                <w:webHidden/>
              </w:rPr>
              <w:fldChar w:fldCharType="begin"/>
            </w:r>
            <w:r w:rsidR="00CB2AB4">
              <w:rPr>
                <w:noProof/>
                <w:webHidden/>
              </w:rPr>
              <w:instrText xml:space="preserve"> PAGEREF _Toc6937362 \h </w:instrText>
            </w:r>
            <w:r w:rsidR="00CB2AB4">
              <w:rPr>
                <w:noProof/>
                <w:webHidden/>
              </w:rPr>
            </w:r>
            <w:r w:rsidR="00CB2AB4">
              <w:rPr>
                <w:noProof/>
                <w:webHidden/>
              </w:rPr>
              <w:fldChar w:fldCharType="separate"/>
            </w:r>
            <w:r w:rsidR="00CB2AB4">
              <w:rPr>
                <w:noProof/>
                <w:webHidden/>
              </w:rPr>
              <w:t>56</w:t>
            </w:r>
            <w:r w:rsidR="00CB2AB4">
              <w:rPr>
                <w:noProof/>
                <w:webHidden/>
              </w:rPr>
              <w:fldChar w:fldCharType="end"/>
            </w:r>
          </w:hyperlink>
        </w:p>
        <w:p w:rsidR="00CB2AB4" w:rsidRDefault="00C73D39">
          <w:pPr>
            <w:pStyle w:val="Sommario1"/>
            <w:tabs>
              <w:tab w:val="right" w:leader="dot" w:pos="9769"/>
            </w:tabs>
            <w:rPr>
              <w:rFonts w:eastAsiaTheme="minorEastAsia"/>
              <w:b w:val="0"/>
              <w:bCs w:val="0"/>
              <w:caps w:val="0"/>
              <w:noProof/>
              <w:color w:val="auto"/>
              <w:sz w:val="22"/>
              <w:szCs w:val="22"/>
              <w:lang w:eastAsia="it-IT"/>
            </w:rPr>
          </w:pPr>
          <w:hyperlink w:anchor="_Toc6937363" w:history="1">
            <w:r w:rsidR="00CB2AB4" w:rsidRPr="00C41E0C">
              <w:rPr>
                <w:rStyle w:val="Collegamentoipertestuale"/>
                <w:noProof/>
              </w:rPr>
              <w:t>Capo IV Ulteriori misure per la crescita</w:t>
            </w:r>
            <w:r w:rsidR="00CB2AB4">
              <w:rPr>
                <w:noProof/>
                <w:webHidden/>
              </w:rPr>
              <w:tab/>
            </w:r>
            <w:r w:rsidR="00CB2AB4">
              <w:rPr>
                <w:noProof/>
                <w:webHidden/>
              </w:rPr>
              <w:fldChar w:fldCharType="begin"/>
            </w:r>
            <w:r w:rsidR="00CB2AB4">
              <w:rPr>
                <w:noProof/>
                <w:webHidden/>
              </w:rPr>
              <w:instrText xml:space="preserve"> PAGEREF _Toc6937363 \h </w:instrText>
            </w:r>
            <w:r w:rsidR="00CB2AB4">
              <w:rPr>
                <w:noProof/>
                <w:webHidden/>
              </w:rPr>
            </w:r>
            <w:r w:rsidR="00CB2AB4">
              <w:rPr>
                <w:noProof/>
                <w:webHidden/>
              </w:rPr>
              <w:fldChar w:fldCharType="separate"/>
            </w:r>
            <w:r w:rsidR="00CB2AB4">
              <w:rPr>
                <w:noProof/>
                <w:webHidden/>
              </w:rPr>
              <w:t>61</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64" w:history="1">
            <w:r w:rsidR="00CB2AB4" w:rsidRPr="00C41E0C">
              <w:rPr>
                <w:rStyle w:val="Collegamentoipertestuale"/>
                <w:noProof/>
              </w:rPr>
              <w:t>Articolo 33 (Assunzione di personale nelle Regioni a statuto ordinario e nei Comuni in base alla sostenibilità finanziaria)</w:t>
            </w:r>
            <w:r w:rsidR="00CB2AB4">
              <w:rPr>
                <w:noProof/>
                <w:webHidden/>
              </w:rPr>
              <w:tab/>
            </w:r>
            <w:r w:rsidR="00CB2AB4">
              <w:rPr>
                <w:noProof/>
                <w:webHidden/>
              </w:rPr>
              <w:fldChar w:fldCharType="begin"/>
            </w:r>
            <w:r w:rsidR="00CB2AB4">
              <w:rPr>
                <w:noProof/>
                <w:webHidden/>
              </w:rPr>
              <w:instrText xml:space="preserve"> PAGEREF _Toc6937364 \h </w:instrText>
            </w:r>
            <w:r w:rsidR="00CB2AB4">
              <w:rPr>
                <w:noProof/>
                <w:webHidden/>
              </w:rPr>
            </w:r>
            <w:r w:rsidR="00CB2AB4">
              <w:rPr>
                <w:noProof/>
                <w:webHidden/>
              </w:rPr>
              <w:fldChar w:fldCharType="separate"/>
            </w:r>
            <w:r w:rsidR="00CB2AB4">
              <w:rPr>
                <w:noProof/>
                <w:webHidden/>
              </w:rPr>
              <w:t>61</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65" w:history="1">
            <w:r w:rsidR="00CB2AB4" w:rsidRPr="00C41E0C">
              <w:rPr>
                <w:rStyle w:val="Collegamentoipertestuale"/>
                <w:noProof/>
              </w:rPr>
              <w:t>Articolo 34 (Piano grandi investimenti nelle Zone economiche Speciali)</w:t>
            </w:r>
            <w:r w:rsidR="00CB2AB4">
              <w:rPr>
                <w:noProof/>
                <w:webHidden/>
              </w:rPr>
              <w:tab/>
            </w:r>
            <w:r w:rsidR="00CB2AB4">
              <w:rPr>
                <w:noProof/>
                <w:webHidden/>
              </w:rPr>
              <w:fldChar w:fldCharType="begin"/>
            </w:r>
            <w:r w:rsidR="00CB2AB4">
              <w:rPr>
                <w:noProof/>
                <w:webHidden/>
              </w:rPr>
              <w:instrText xml:space="preserve"> PAGEREF _Toc6937365 \h </w:instrText>
            </w:r>
            <w:r w:rsidR="00CB2AB4">
              <w:rPr>
                <w:noProof/>
                <w:webHidden/>
              </w:rPr>
            </w:r>
            <w:r w:rsidR="00CB2AB4">
              <w:rPr>
                <w:noProof/>
                <w:webHidden/>
              </w:rPr>
              <w:fldChar w:fldCharType="separate"/>
            </w:r>
            <w:r w:rsidR="00CB2AB4">
              <w:rPr>
                <w:noProof/>
                <w:webHidden/>
              </w:rPr>
              <w:t>63</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66" w:history="1">
            <w:r w:rsidR="00CB2AB4" w:rsidRPr="00C41E0C">
              <w:rPr>
                <w:rStyle w:val="Collegamentoipertestuale"/>
                <w:noProof/>
              </w:rPr>
              <w:t>Articolo 35 (Obblighi informativi erogazioni pubbliche)</w:t>
            </w:r>
            <w:r w:rsidR="00CB2AB4">
              <w:rPr>
                <w:noProof/>
                <w:webHidden/>
              </w:rPr>
              <w:tab/>
            </w:r>
            <w:r w:rsidR="00CB2AB4">
              <w:rPr>
                <w:noProof/>
                <w:webHidden/>
              </w:rPr>
              <w:fldChar w:fldCharType="begin"/>
            </w:r>
            <w:r w:rsidR="00CB2AB4">
              <w:rPr>
                <w:noProof/>
                <w:webHidden/>
              </w:rPr>
              <w:instrText xml:space="preserve"> PAGEREF _Toc6937366 \h </w:instrText>
            </w:r>
            <w:r w:rsidR="00CB2AB4">
              <w:rPr>
                <w:noProof/>
                <w:webHidden/>
              </w:rPr>
            </w:r>
            <w:r w:rsidR="00CB2AB4">
              <w:rPr>
                <w:noProof/>
                <w:webHidden/>
              </w:rPr>
              <w:fldChar w:fldCharType="separate"/>
            </w:r>
            <w:r w:rsidR="00CB2AB4">
              <w:rPr>
                <w:noProof/>
                <w:webHidden/>
              </w:rPr>
              <w:t>63</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67" w:history="1">
            <w:r w:rsidR="00CB2AB4" w:rsidRPr="00C41E0C">
              <w:rPr>
                <w:rStyle w:val="Collegamentoipertestuale"/>
                <w:noProof/>
              </w:rPr>
              <w:t>Articolo 36 (Banche popolari e Fondo indennizzo risparmiatori)</w:t>
            </w:r>
            <w:r w:rsidR="00CB2AB4">
              <w:rPr>
                <w:noProof/>
                <w:webHidden/>
              </w:rPr>
              <w:tab/>
            </w:r>
            <w:r w:rsidR="00CB2AB4">
              <w:rPr>
                <w:noProof/>
                <w:webHidden/>
              </w:rPr>
              <w:fldChar w:fldCharType="begin"/>
            </w:r>
            <w:r w:rsidR="00CB2AB4">
              <w:rPr>
                <w:noProof/>
                <w:webHidden/>
              </w:rPr>
              <w:instrText xml:space="preserve"> PAGEREF _Toc6937367 \h </w:instrText>
            </w:r>
            <w:r w:rsidR="00CB2AB4">
              <w:rPr>
                <w:noProof/>
                <w:webHidden/>
              </w:rPr>
            </w:r>
            <w:r w:rsidR="00CB2AB4">
              <w:rPr>
                <w:noProof/>
                <w:webHidden/>
              </w:rPr>
              <w:fldChar w:fldCharType="separate"/>
            </w:r>
            <w:r w:rsidR="00CB2AB4">
              <w:rPr>
                <w:noProof/>
                <w:webHidden/>
              </w:rPr>
              <w:t>66</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68" w:history="1">
            <w:r w:rsidR="00CB2AB4" w:rsidRPr="00C41E0C">
              <w:rPr>
                <w:rStyle w:val="Collegamentoipertestuale"/>
                <w:noProof/>
              </w:rPr>
              <w:t>Articolo 37 (Ingresso del Ministero dell’economia e delle finanze nel capitale sociale della NewCo Nuova Alitalia)</w:t>
            </w:r>
            <w:r w:rsidR="00CB2AB4">
              <w:rPr>
                <w:noProof/>
                <w:webHidden/>
              </w:rPr>
              <w:tab/>
            </w:r>
            <w:r w:rsidR="00CB2AB4">
              <w:rPr>
                <w:noProof/>
                <w:webHidden/>
              </w:rPr>
              <w:fldChar w:fldCharType="begin"/>
            </w:r>
            <w:r w:rsidR="00CB2AB4">
              <w:rPr>
                <w:noProof/>
                <w:webHidden/>
              </w:rPr>
              <w:instrText xml:space="preserve"> PAGEREF _Toc6937368 \h </w:instrText>
            </w:r>
            <w:r w:rsidR="00CB2AB4">
              <w:rPr>
                <w:noProof/>
                <w:webHidden/>
              </w:rPr>
            </w:r>
            <w:r w:rsidR="00CB2AB4">
              <w:rPr>
                <w:noProof/>
                <w:webHidden/>
              </w:rPr>
              <w:fldChar w:fldCharType="separate"/>
            </w:r>
            <w:r w:rsidR="00CB2AB4">
              <w:rPr>
                <w:noProof/>
                <w:webHidden/>
              </w:rPr>
              <w:t>68</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69" w:history="1">
            <w:r w:rsidR="00CB2AB4" w:rsidRPr="00C41E0C">
              <w:rPr>
                <w:rStyle w:val="Collegamentoipertestuale"/>
                <w:noProof/>
                <w:highlight w:val="yellow"/>
              </w:rPr>
              <w:t>Articolo 38 (Debiti enti locali)</w:t>
            </w:r>
            <w:r w:rsidR="00CB2AB4">
              <w:rPr>
                <w:noProof/>
                <w:webHidden/>
              </w:rPr>
              <w:tab/>
            </w:r>
            <w:r w:rsidR="00CB2AB4">
              <w:rPr>
                <w:noProof/>
                <w:webHidden/>
              </w:rPr>
              <w:fldChar w:fldCharType="begin"/>
            </w:r>
            <w:r w:rsidR="00CB2AB4">
              <w:rPr>
                <w:noProof/>
                <w:webHidden/>
              </w:rPr>
              <w:instrText xml:space="preserve"> PAGEREF _Toc6937369 \h </w:instrText>
            </w:r>
            <w:r w:rsidR="00CB2AB4">
              <w:rPr>
                <w:noProof/>
                <w:webHidden/>
              </w:rPr>
            </w:r>
            <w:r w:rsidR="00CB2AB4">
              <w:rPr>
                <w:noProof/>
                <w:webHidden/>
              </w:rPr>
              <w:fldChar w:fldCharType="separate"/>
            </w:r>
            <w:r w:rsidR="00CB2AB4">
              <w:rPr>
                <w:noProof/>
                <w:webHidden/>
              </w:rPr>
              <w:t>70</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70" w:history="1">
            <w:r w:rsidR="00CB2AB4" w:rsidRPr="00C41E0C">
              <w:rPr>
                <w:rStyle w:val="Collegamentoipertestuale"/>
                <w:noProof/>
              </w:rPr>
              <w:t>Articolo 39 (Modifica al decreto- legge 28 gennaio 2019, n. 4)</w:t>
            </w:r>
            <w:r w:rsidR="00CB2AB4">
              <w:rPr>
                <w:noProof/>
                <w:webHidden/>
              </w:rPr>
              <w:tab/>
            </w:r>
            <w:r w:rsidR="00CB2AB4">
              <w:rPr>
                <w:noProof/>
                <w:webHidden/>
              </w:rPr>
              <w:fldChar w:fldCharType="begin"/>
            </w:r>
            <w:r w:rsidR="00CB2AB4">
              <w:rPr>
                <w:noProof/>
                <w:webHidden/>
              </w:rPr>
              <w:instrText xml:space="preserve"> PAGEREF _Toc6937370 \h </w:instrText>
            </w:r>
            <w:r w:rsidR="00CB2AB4">
              <w:rPr>
                <w:noProof/>
                <w:webHidden/>
              </w:rPr>
            </w:r>
            <w:r w:rsidR="00CB2AB4">
              <w:rPr>
                <w:noProof/>
                <w:webHidden/>
              </w:rPr>
              <w:fldChar w:fldCharType="separate"/>
            </w:r>
            <w:r w:rsidR="00CB2AB4">
              <w:rPr>
                <w:noProof/>
                <w:webHidden/>
              </w:rPr>
              <w:t>73</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71" w:history="1">
            <w:r w:rsidR="00CB2AB4" w:rsidRPr="00C41E0C">
              <w:rPr>
                <w:rStyle w:val="Collegamentoipertestuale"/>
                <w:noProof/>
              </w:rPr>
              <w:t>Articolo 40 (Misure di sostegno al reddito per chiusura della strada 55 3 bis Tiberina E45)</w:t>
            </w:r>
            <w:r w:rsidR="00CB2AB4">
              <w:rPr>
                <w:noProof/>
                <w:webHidden/>
              </w:rPr>
              <w:tab/>
            </w:r>
            <w:r w:rsidR="00CB2AB4">
              <w:rPr>
                <w:noProof/>
                <w:webHidden/>
              </w:rPr>
              <w:fldChar w:fldCharType="begin"/>
            </w:r>
            <w:r w:rsidR="00CB2AB4">
              <w:rPr>
                <w:noProof/>
                <w:webHidden/>
              </w:rPr>
              <w:instrText xml:space="preserve"> PAGEREF _Toc6937371 \h </w:instrText>
            </w:r>
            <w:r w:rsidR="00CB2AB4">
              <w:rPr>
                <w:noProof/>
                <w:webHidden/>
              </w:rPr>
            </w:r>
            <w:r w:rsidR="00CB2AB4">
              <w:rPr>
                <w:noProof/>
                <w:webHidden/>
              </w:rPr>
              <w:fldChar w:fldCharType="separate"/>
            </w:r>
            <w:r w:rsidR="00CB2AB4">
              <w:rPr>
                <w:noProof/>
                <w:webHidden/>
              </w:rPr>
              <w:t>73</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72" w:history="1">
            <w:r w:rsidR="00CB2AB4" w:rsidRPr="00C41E0C">
              <w:rPr>
                <w:rStyle w:val="Collegamentoipertestuale"/>
                <w:noProof/>
              </w:rPr>
              <w:t>Articolo 41 (Misure in materia di aree di crisi industriale complessa)</w:t>
            </w:r>
            <w:r w:rsidR="00CB2AB4">
              <w:rPr>
                <w:noProof/>
                <w:webHidden/>
              </w:rPr>
              <w:tab/>
            </w:r>
            <w:r w:rsidR="00CB2AB4">
              <w:rPr>
                <w:noProof/>
                <w:webHidden/>
              </w:rPr>
              <w:fldChar w:fldCharType="begin"/>
            </w:r>
            <w:r w:rsidR="00CB2AB4">
              <w:rPr>
                <w:noProof/>
                <w:webHidden/>
              </w:rPr>
              <w:instrText xml:space="preserve"> PAGEREF _Toc6937372 \h </w:instrText>
            </w:r>
            <w:r w:rsidR="00CB2AB4">
              <w:rPr>
                <w:noProof/>
                <w:webHidden/>
              </w:rPr>
            </w:r>
            <w:r w:rsidR="00CB2AB4">
              <w:rPr>
                <w:noProof/>
                <w:webHidden/>
              </w:rPr>
              <w:fldChar w:fldCharType="separate"/>
            </w:r>
            <w:r w:rsidR="00CB2AB4">
              <w:rPr>
                <w:noProof/>
                <w:webHidden/>
              </w:rPr>
              <w:t>74</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73" w:history="1">
            <w:r w:rsidR="00CB2AB4" w:rsidRPr="00C41E0C">
              <w:rPr>
                <w:rStyle w:val="Collegamentoipertestuale"/>
                <w:noProof/>
              </w:rPr>
              <w:t>Articolo 42 (Controllo degli strumenti di misura in servizio e sulla vigilanza sugli strumenti di misura conformi alla normativa nazionale ed europea)</w:t>
            </w:r>
            <w:r w:rsidR="00CB2AB4">
              <w:rPr>
                <w:noProof/>
                <w:webHidden/>
              </w:rPr>
              <w:tab/>
            </w:r>
            <w:r w:rsidR="00CB2AB4">
              <w:rPr>
                <w:noProof/>
                <w:webHidden/>
              </w:rPr>
              <w:fldChar w:fldCharType="begin"/>
            </w:r>
            <w:r w:rsidR="00CB2AB4">
              <w:rPr>
                <w:noProof/>
                <w:webHidden/>
              </w:rPr>
              <w:instrText xml:space="preserve"> PAGEREF _Toc6937373 \h </w:instrText>
            </w:r>
            <w:r w:rsidR="00CB2AB4">
              <w:rPr>
                <w:noProof/>
                <w:webHidden/>
              </w:rPr>
            </w:r>
            <w:r w:rsidR="00CB2AB4">
              <w:rPr>
                <w:noProof/>
                <w:webHidden/>
              </w:rPr>
              <w:fldChar w:fldCharType="separate"/>
            </w:r>
            <w:r w:rsidR="00CB2AB4">
              <w:rPr>
                <w:noProof/>
                <w:webHidden/>
              </w:rPr>
              <w:t>75</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74" w:history="1">
            <w:r w:rsidR="00CB2AB4" w:rsidRPr="00C41E0C">
              <w:rPr>
                <w:rStyle w:val="Collegamentoipertestuale"/>
                <w:noProof/>
              </w:rPr>
              <w:t>Articolo 43 (Semplificazione degli adempimenti per la gestione degli enti del Terzo settore)</w:t>
            </w:r>
            <w:r w:rsidR="00CB2AB4">
              <w:rPr>
                <w:noProof/>
                <w:webHidden/>
              </w:rPr>
              <w:tab/>
            </w:r>
            <w:r w:rsidR="00CB2AB4">
              <w:rPr>
                <w:noProof/>
                <w:webHidden/>
              </w:rPr>
              <w:fldChar w:fldCharType="begin"/>
            </w:r>
            <w:r w:rsidR="00CB2AB4">
              <w:rPr>
                <w:noProof/>
                <w:webHidden/>
              </w:rPr>
              <w:instrText xml:space="preserve"> PAGEREF _Toc6937374 \h </w:instrText>
            </w:r>
            <w:r w:rsidR="00CB2AB4">
              <w:rPr>
                <w:noProof/>
                <w:webHidden/>
              </w:rPr>
            </w:r>
            <w:r w:rsidR="00CB2AB4">
              <w:rPr>
                <w:noProof/>
                <w:webHidden/>
              </w:rPr>
              <w:fldChar w:fldCharType="separate"/>
            </w:r>
            <w:r w:rsidR="00CB2AB4">
              <w:rPr>
                <w:noProof/>
                <w:webHidden/>
              </w:rPr>
              <w:t>76</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75" w:history="1">
            <w:r w:rsidR="00CB2AB4" w:rsidRPr="00C41E0C">
              <w:rPr>
                <w:rStyle w:val="Collegamentoipertestuale"/>
                <w:noProof/>
              </w:rPr>
              <w:t>Articolo 44 (Semplificazione ed efficientamento dei processi di programmazione, vigilanza ed attuazione degli interventi finanziati dal Fondo per lo sviluppo e la coesione</w:t>
            </w:r>
            <w:r w:rsidR="00CB2AB4" w:rsidRPr="00C41E0C">
              <w:rPr>
                <w:rStyle w:val="Collegamentoipertestuale"/>
                <w:rFonts w:ascii="Calibri" w:hAnsi="Calibri"/>
                <w:noProof/>
              </w:rPr>
              <w:t>)</w:t>
            </w:r>
            <w:r w:rsidR="00CB2AB4">
              <w:rPr>
                <w:noProof/>
                <w:webHidden/>
              </w:rPr>
              <w:tab/>
            </w:r>
            <w:r w:rsidR="00CB2AB4">
              <w:rPr>
                <w:noProof/>
                <w:webHidden/>
              </w:rPr>
              <w:fldChar w:fldCharType="begin"/>
            </w:r>
            <w:r w:rsidR="00CB2AB4">
              <w:rPr>
                <w:noProof/>
                <w:webHidden/>
              </w:rPr>
              <w:instrText xml:space="preserve"> PAGEREF _Toc6937375 \h </w:instrText>
            </w:r>
            <w:r w:rsidR="00CB2AB4">
              <w:rPr>
                <w:noProof/>
                <w:webHidden/>
              </w:rPr>
            </w:r>
            <w:r w:rsidR="00CB2AB4">
              <w:rPr>
                <w:noProof/>
                <w:webHidden/>
              </w:rPr>
              <w:fldChar w:fldCharType="separate"/>
            </w:r>
            <w:r w:rsidR="00CB2AB4">
              <w:rPr>
                <w:noProof/>
                <w:webHidden/>
              </w:rPr>
              <w:t>82</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76" w:history="1">
            <w:r w:rsidR="00CB2AB4" w:rsidRPr="00C41E0C">
              <w:rPr>
                <w:rStyle w:val="Collegamentoipertestuale"/>
                <w:noProof/>
              </w:rPr>
              <w:t>Articolo 45 (Proroga del termine per la rideterminazione dei vitalizi regionali)</w:t>
            </w:r>
            <w:r w:rsidR="00CB2AB4">
              <w:rPr>
                <w:noProof/>
                <w:webHidden/>
              </w:rPr>
              <w:tab/>
            </w:r>
            <w:r w:rsidR="00CB2AB4">
              <w:rPr>
                <w:noProof/>
                <w:webHidden/>
              </w:rPr>
              <w:fldChar w:fldCharType="begin"/>
            </w:r>
            <w:r w:rsidR="00CB2AB4">
              <w:rPr>
                <w:noProof/>
                <w:webHidden/>
              </w:rPr>
              <w:instrText xml:space="preserve"> PAGEREF _Toc6937376 \h </w:instrText>
            </w:r>
            <w:r w:rsidR="00CB2AB4">
              <w:rPr>
                <w:noProof/>
                <w:webHidden/>
              </w:rPr>
            </w:r>
            <w:r w:rsidR="00CB2AB4">
              <w:rPr>
                <w:noProof/>
                <w:webHidden/>
              </w:rPr>
              <w:fldChar w:fldCharType="separate"/>
            </w:r>
            <w:r w:rsidR="00CB2AB4">
              <w:rPr>
                <w:noProof/>
                <w:webHidden/>
              </w:rPr>
              <w:t>84</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77" w:history="1">
            <w:r w:rsidR="00CB2AB4" w:rsidRPr="00C41E0C">
              <w:rPr>
                <w:rStyle w:val="Collegamentoipertestuale"/>
                <w:noProof/>
              </w:rPr>
              <w:t>Articolo 46 (Modifiche all’art. 2, comma 6 del decreto legge 5 gennaio 2015, n. 1)</w:t>
            </w:r>
            <w:r w:rsidR="00CB2AB4">
              <w:rPr>
                <w:noProof/>
                <w:webHidden/>
              </w:rPr>
              <w:tab/>
            </w:r>
            <w:r w:rsidR="00CB2AB4">
              <w:rPr>
                <w:noProof/>
                <w:webHidden/>
              </w:rPr>
              <w:fldChar w:fldCharType="begin"/>
            </w:r>
            <w:r w:rsidR="00CB2AB4">
              <w:rPr>
                <w:noProof/>
                <w:webHidden/>
              </w:rPr>
              <w:instrText xml:space="preserve"> PAGEREF _Toc6937377 \h </w:instrText>
            </w:r>
            <w:r w:rsidR="00CB2AB4">
              <w:rPr>
                <w:noProof/>
                <w:webHidden/>
              </w:rPr>
            </w:r>
            <w:r w:rsidR="00CB2AB4">
              <w:rPr>
                <w:noProof/>
                <w:webHidden/>
              </w:rPr>
              <w:fldChar w:fldCharType="separate"/>
            </w:r>
            <w:r w:rsidR="00CB2AB4">
              <w:rPr>
                <w:noProof/>
                <w:webHidden/>
              </w:rPr>
              <w:t>84</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78" w:history="1">
            <w:r w:rsidR="00CB2AB4" w:rsidRPr="00C41E0C">
              <w:rPr>
                <w:rStyle w:val="Collegamentoipertestuale"/>
                <w:noProof/>
              </w:rPr>
              <w:t>Articolo 47 Alte professionalitá esclusivamente tecniche per opere pubbliche, gare e contratti</w:t>
            </w:r>
            <w:r w:rsidR="00CB2AB4">
              <w:rPr>
                <w:noProof/>
                <w:webHidden/>
              </w:rPr>
              <w:tab/>
            </w:r>
            <w:r w:rsidR="00CB2AB4">
              <w:rPr>
                <w:noProof/>
                <w:webHidden/>
              </w:rPr>
              <w:fldChar w:fldCharType="begin"/>
            </w:r>
            <w:r w:rsidR="00CB2AB4">
              <w:rPr>
                <w:noProof/>
                <w:webHidden/>
              </w:rPr>
              <w:instrText xml:space="preserve"> PAGEREF _Toc6937378 \h </w:instrText>
            </w:r>
            <w:r w:rsidR="00CB2AB4">
              <w:rPr>
                <w:noProof/>
                <w:webHidden/>
              </w:rPr>
            </w:r>
            <w:r w:rsidR="00CB2AB4">
              <w:rPr>
                <w:noProof/>
                <w:webHidden/>
              </w:rPr>
              <w:fldChar w:fldCharType="separate"/>
            </w:r>
            <w:r w:rsidR="00CB2AB4">
              <w:rPr>
                <w:noProof/>
                <w:webHidden/>
              </w:rPr>
              <w:t>86</w:t>
            </w:r>
            <w:r w:rsidR="00CB2AB4">
              <w:rPr>
                <w:noProof/>
                <w:webHidden/>
              </w:rPr>
              <w:fldChar w:fldCharType="end"/>
            </w:r>
          </w:hyperlink>
        </w:p>
        <w:p w:rsidR="00CB2AB4" w:rsidRDefault="00C73D39">
          <w:pPr>
            <w:pStyle w:val="Sommario2"/>
            <w:tabs>
              <w:tab w:val="right" w:leader="dot" w:pos="9769"/>
            </w:tabs>
            <w:rPr>
              <w:rFonts w:eastAsiaTheme="minorEastAsia"/>
              <w:smallCaps w:val="0"/>
              <w:noProof/>
              <w:color w:val="auto"/>
              <w:sz w:val="22"/>
              <w:szCs w:val="22"/>
              <w:lang w:eastAsia="it-IT"/>
            </w:rPr>
          </w:pPr>
          <w:hyperlink w:anchor="_Toc6937379" w:history="1">
            <w:r w:rsidR="00CB2AB4" w:rsidRPr="00C41E0C">
              <w:rPr>
                <w:rStyle w:val="Collegamentoipertestuale"/>
                <w:noProof/>
                <w:highlight w:val="yellow"/>
              </w:rPr>
              <w:t>Articolo 48 (Disposizioni urgenti in materia di infrastrutture)</w:t>
            </w:r>
            <w:r w:rsidR="00CB2AB4">
              <w:rPr>
                <w:noProof/>
                <w:webHidden/>
              </w:rPr>
              <w:tab/>
            </w:r>
            <w:r w:rsidR="00CB2AB4">
              <w:rPr>
                <w:noProof/>
                <w:webHidden/>
              </w:rPr>
              <w:fldChar w:fldCharType="begin"/>
            </w:r>
            <w:r w:rsidR="00CB2AB4">
              <w:rPr>
                <w:noProof/>
                <w:webHidden/>
              </w:rPr>
              <w:instrText xml:space="preserve"> PAGEREF _Toc6937379 \h </w:instrText>
            </w:r>
            <w:r w:rsidR="00CB2AB4">
              <w:rPr>
                <w:noProof/>
                <w:webHidden/>
              </w:rPr>
            </w:r>
            <w:r w:rsidR="00CB2AB4">
              <w:rPr>
                <w:noProof/>
                <w:webHidden/>
              </w:rPr>
              <w:fldChar w:fldCharType="separate"/>
            </w:r>
            <w:r w:rsidR="00CB2AB4">
              <w:rPr>
                <w:noProof/>
                <w:webHidden/>
              </w:rPr>
              <w:t>88</w:t>
            </w:r>
            <w:r w:rsidR="00CB2AB4">
              <w:rPr>
                <w:noProof/>
                <w:webHidden/>
              </w:rPr>
              <w:fldChar w:fldCharType="end"/>
            </w:r>
          </w:hyperlink>
        </w:p>
        <w:p w:rsidR="00A8512B" w:rsidRPr="002279E2" w:rsidRDefault="000B1724" w:rsidP="00612935">
          <w:pPr>
            <w:rPr>
              <w:rFonts w:cs="Times New Roman"/>
              <w:sz w:val="24"/>
              <w:szCs w:val="24"/>
            </w:rPr>
          </w:pPr>
          <w:r w:rsidRPr="002279E2">
            <w:rPr>
              <w:rFonts w:cs="Times New Roman"/>
              <w:caps/>
              <w:sz w:val="24"/>
              <w:szCs w:val="24"/>
            </w:rPr>
            <w:fldChar w:fldCharType="end"/>
          </w:r>
        </w:p>
      </w:sdtContent>
    </w:sdt>
    <w:p w:rsidR="008F2721" w:rsidRPr="002279E2" w:rsidRDefault="008F2721" w:rsidP="00612935">
      <w:pPr>
        <w:jc w:val="center"/>
        <w:rPr>
          <w:rFonts w:cs="Times New Roman"/>
          <w:sz w:val="24"/>
          <w:szCs w:val="24"/>
        </w:rPr>
      </w:pPr>
      <w:r w:rsidRPr="002279E2">
        <w:rPr>
          <w:rFonts w:cs="Times New Roman"/>
          <w:sz w:val="24"/>
          <w:szCs w:val="24"/>
        </w:rPr>
        <w:br w:type="page"/>
      </w:r>
    </w:p>
    <w:p w:rsidR="00230608" w:rsidRPr="00474FEC" w:rsidRDefault="00230608" w:rsidP="00230608">
      <w:pPr>
        <w:shd w:val="clear" w:color="auto" w:fill="FFFFFF"/>
        <w:spacing w:after="45"/>
        <w:jc w:val="center"/>
        <w:rPr>
          <w:b/>
          <w:szCs w:val="32"/>
        </w:rPr>
      </w:pPr>
      <w:r w:rsidRPr="00474FEC">
        <w:rPr>
          <w:b/>
          <w:szCs w:val="32"/>
        </w:rPr>
        <w:lastRenderedPageBreak/>
        <w:t>IL PRESIDENTE DELLA REPUBBLICA</w:t>
      </w:r>
    </w:p>
    <w:p w:rsidR="00230608" w:rsidRDefault="00230608" w:rsidP="00B42FE0">
      <w:pPr>
        <w:shd w:val="clear" w:color="auto" w:fill="FFFFFF"/>
        <w:spacing w:after="45"/>
        <w:rPr>
          <w:szCs w:val="32"/>
        </w:rPr>
      </w:pPr>
    </w:p>
    <w:p w:rsidR="00B42FE0" w:rsidRPr="00B42FE0" w:rsidRDefault="00B42FE0" w:rsidP="00230608">
      <w:pPr>
        <w:shd w:val="clear" w:color="auto" w:fill="FFFFFF"/>
        <w:spacing w:after="120"/>
        <w:rPr>
          <w:color w:val="auto"/>
          <w:sz w:val="16"/>
        </w:rPr>
      </w:pPr>
      <w:r w:rsidRPr="00B42FE0">
        <w:rPr>
          <w:szCs w:val="32"/>
        </w:rPr>
        <w:t>VISTI gli articoli 77 e 87 della Costituzione;</w:t>
      </w:r>
    </w:p>
    <w:p w:rsidR="00B42FE0" w:rsidRPr="00B42FE0" w:rsidRDefault="00B42FE0" w:rsidP="00230608">
      <w:pPr>
        <w:shd w:val="clear" w:color="auto" w:fill="FFFFFF"/>
        <w:spacing w:after="120"/>
        <w:rPr>
          <w:sz w:val="16"/>
        </w:rPr>
      </w:pPr>
      <w:r w:rsidRPr="00B42FE0">
        <w:rPr>
          <w:szCs w:val="32"/>
        </w:rPr>
        <w:t>CONSIDERATA la necessità ed urgenza di stabilire misure per la crescita dell’economia;</w:t>
      </w:r>
    </w:p>
    <w:p w:rsidR="00B42FE0" w:rsidRPr="00B42FE0" w:rsidRDefault="00B42FE0" w:rsidP="00230608">
      <w:pPr>
        <w:shd w:val="clear" w:color="auto" w:fill="FFFFFF"/>
        <w:spacing w:after="120"/>
        <w:rPr>
          <w:sz w:val="16"/>
        </w:rPr>
      </w:pPr>
      <w:r w:rsidRPr="00B42FE0">
        <w:rPr>
          <w:szCs w:val="32"/>
        </w:rPr>
        <w:t>VISTA la deliberazione del Consiglio dei ministri, adottata nell</w:t>
      </w:r>
      <w:r w:rsidR="00F307C4">
        <w:rPr>
          <w:szCs w:val="32"/>
        </w:rPr>
        <w:t>e</w:t>
      </w:r>
      <w:r w:rsidRPr="00B42FE0">
        <w:rPr>
          <w:szCs w:val="32"/>
        </w:rPr>
        <w:t xml:space="preserve"> riunion</w:t>
      </w:r>
      <w:r w:rsidR="00F307C4">
        <w:rPr>
          <w:szCs w:val="32"/>
        </w:rPr>
        <w:t>i</w:t>
      </w:r>
      <w:r w:rsidRPr="00B42FE0">
        <w:rPr>
          <w:szCs w:val="32"/>
        </w:rPr>
        <w:t xml:space="preserve"> del </w:t>
      </w:r>
      <w:r w:rsidR="00F307C4">
        <w:rPr>
          <w:szCs w:val="32"/>
        </w:rPr>
        <w:t>4 aprile e 23 aprile 2019</w:t>
      </w:r>
      <w:r w:rsidRPr="00B42FE0">
        <w:rPr>
          <w:szCs w:val="32"/>
        </w:rPr>
        <w:t xml:space="preserve">; </w:t>
      </w:r>
    </w:p>
    <w:p w:rsidR="00B42FE0" w:rsidRPr="00B42FE0" w:rsidRDefault="00B42FE0" w:rsidP="00230608">
      <w:pPr>
        <w:shd w:val="clear" w:color="auto" w:fill="FFFFFF"/>
        <w:spacing w:after="120"/>
        <w:rPr>
          <w:sz w:val="16"/>
        </w:rPr>
      </w:pPr>
      <w:r w:rsidRPr="00B42FE0">
        <w:rPr>
          <w:szCs w:val="32"/>
        </w:rPr>
        <w:t>SULLA PROPOSTA del Presidente del Consiglio dei Ministri, del Ministro dell’economia e delle finanze e del Ministro dello sviluppo economico;</w:t>
      </w:r>
    </w:p>
    <w:p w:rsidR="00B42FE0" w:rsidRPr="00474FEC" w:rsidRDefault="00B42FE0" w:rsidP="00B42FE0">
      <w:pPr>
        <w:shd w:val="clear" w:color="auto" w:fill="FFFFFF"/>
        <w:spacing w:after="45"/>
        <w:ind w:left="375"/>
        <w:jc w:val="center"/>
        <w:rPr>
          <w:b/>
          <w:sz w:val="16"/>
        </w:rPr>
      </w:pPr>
      <w:r w:rsidRPr="00474FEC">
        <w:rPr>
          <w:b/>
          <w:szCs w:val="32"/>
        </w:rPr>
        <w:t xml:space="preserve">EMANA </w:t>
      </w:r>
    </w:p>
    <w:p w:rsidR="00E70D9E" w:rsidRDefault="00B42FE0" w:rsidP="00B42FE0">
      <w:pPr>
        <w:rPr>
          <w:szCs w:val="32"/>
        </w:rPr>
      </w:pPr>
      <w:r w:rsidRPr="00B42FE0">
        <w:rPr>
          <w:szCs w:val="32"/>
        </w:rPr>
        <w:t>il seguente decreto-legge:</w:t>
      </w:r>
    </w:p>
    <w:p w:rsidR="00B42FE0" w:rsidRPr="00B42FE0" w:rsidRDefault="00B42FE0" w:rsidP="00B42FE0">
      <w:pPr>
        <w:rPr>
          <w:rFonts w:cs="Times New Roman"/>
          <w:sz w:val="18"/>
          <w:szCs w:val="24"/>
        </w:rPr>
      </w:pPr>
    </w:p>
    <w:p w:rsidR="00F734FE" w:rsidRPr="002279E2" w:rsidRDefault="00F734FE" w:rsidP="00612935">
      <w:pPr>
        <w:pStyle w:val="Titolo1"/>
      </w:pPr>
      <w:bookmarkStart w:id="1" w:name="_Toc3551771"/>
      <w:bookmarkStart w:id="2" w:name="_Toc6937328"/>
      <w:r w:rsidRPr="002279E2">
        <w:t>Capo I</w:t>
      </w:r>
      <w:r w:rsidRPr="002279E2">
        <w:br/>
        <w:t>Misure fiscali per la crescita economica</w:t>
      </w:r>
      <w:bookmarkEnd w:id="1"/>
      <w:bookmarkEnd w:id="2"/>
    </w:p>
    <w:p w:rsidR="00A05C08" w:rsidRPr="002279E2" w:rsidRDefault="00A05C08" w:rsidP="00612935"/>
    <w:p w:rsidR="007E4FDC" w:rsidRPr="002279E2" w:rsidRDefault="007E4FDC" w:rsidP="003B00B7">
      <w:pPr>
        <w:pStyle w:val="Titolo2"/>
      </w:pPr>
      <w:bookmarkStart w:id="3" w:name="_Toc4423333"/>
      <w:bookmarkStart w:id="4" w:name="_Toc6937329"/>
      <w:r w:rsidRPr="002279E2">
        <w:t>Articolo 1</w:t>
      </w:r>
      <w:r w:rsidRPr="002279E2">
        <w:br/>
        <w:t>(</w:t>
      </w:r>
      <w:r w:rsidR="00A05C08" w:rsidRPr="002279E2">
        <w:t>Maggiorazione dell’ammortamento per i beni strumentali nuovi</w:t>
      </w:r>
      <w:r w:rsidRPr="002279E2">
        <w:t>)</w:t>
      </w:r>
      <w:bookmarkEnd w:id="3"/>
      <w:bookmarkEnd w:id="4"/>
    </w:p>
    <w:p w:rsidR="00C874C0" w:rsidRPr="002279E2" w:rsidRDefault="00C874C0" w:rsidP="00C874C0">
      <w:pPr>
        <w:rPr>
          <w:rFonts w:cs="Times New Roman"/>
        </w:rPr>
      </w:pPr>
      <w:bookmarkStart w:id="5" w:name="_Toc4423334"/>
      <w:r w:rsidRPr="002279E2">
        <w:rPr>
          <w:rFonts w:cs="Times New Roman"/>
        </w:rPr>
        <w:t>1. Ai fini delle imposte sui redditi, per i soggetti titolari di reddito d’impresa e per gli esercenti arti e professioni che effettuano investimenti in beni materiali strumentali nuovi, esclusi i veicoli e gli altri mezzi di trasporto di cui all’articolo 164, comma 1, del testo unico delle imposte sui redditi, di cui al decreto del Presidente della Repubblica 22 dicembre 1986, n. 917, dal 1° aprile 2019 al 31 dicembre 2019, ovvero entro il 30 giugno 2020, a condizione che entro la data del 31 dicembre 2019 il relativo ordine risulti accettato dal venditore e sia avvenuto il pagamento di acconti in misura almeno pari al 20 per cento del costo di acquisizione, con esclusivo riferimento alla determinazione delle quote di ammortamento e dei canoni di locazione finanziaria, il costo di acquisizione è maggiorato del 30 per cento. La maggiorazione del costo non si applica sulla parte di investimenti complessivi eccedenti il limite di 2,5 milioni di euro. Resta ferma l'applicazione delle disposizioni di cui all'articolo 1, commi 93 e 97, della legge 28 dicembre 2015, n. 208.</w:t>
      </w:r>
    </w:p>
    <w:p w:rsidR="00C874C0" w:rsidRPr="002279E2" w:rsidRDefault="00C874C0" w:rsidP="00C874C0">
      <w:pPr>
        <w:rPr>
          <w:rFonts w:cs="Times New Roman"/>
        </w:rPr>
      </w:pPr>
    </w:p>
    <w:p w:rsidR="00C874C0" w:rsidRPr="002279E2" w:rsidRDefault="00C874C0" w:rsidP="00C874C0">
      <w:pPr>
        <w:jc w:val="center"/>
        <w:rPr>
          <w:rFonts w:cs="Times New Roman"/>
          <w:b/>
        </w:rPr>
      </w:pPr>
      <w:r w:rsidRPr="002279E2">
        <w:rPr>
          <w:rFonts w:cs="Times New Roman"/>
          <w:b/>
        </w:rPr>
        <w:t>Relazione illustrativa</w:t>
      </w:r>
    </w:p>
    <w:p w:rsidR="00C874C0" w:rsidRPr="002279E2" w:rsidRDefault="00C874C0" w:rsidP="00C874C0">
      <w:pPr>
        <w:rPr>
          <w:rFonts w:cs="Times New Roman"/>
        </w:rPr>
      </w:pPr>
      <w:r w:rsidRPr="002279E2">
        <w:rPr>
          <w:rFonts w:cs="Times New Roman"/>
        </w:rPr>
        <w:t>La disposizione reintroduce a partire dal 1° aprile 2019 la misura del cd. super ammortamento con l’inserimento di un tetto agli investimenti complessivi effettuati dall’impresa al di sopra del quale il beneficio non spetta per la parte eccedente.</w:t>
      </w:r>
    </w:p>
    <w:p w:rsidR="00C874C0" w:rsidRPr="002279E2" w:rsidRDefault="00C874C0" w:rsidP="00C874C0">
      <w:pPr>
        <w:rPr>
          <w:rFonts w:cs="Times New Roman"/>
        </w:rPr>
      </w:pPr>
    </w:p>
    <w:p w:rsidR="00C874C0" w:rsidRPr="002279E2" w:rsidRDefault="00C874C0" w:rsidP="00C874C0">
      <w:pPr>
        <w:jc w:val="center"/>
        <w:rPr>
          <w:rFonts w:cs="Times New Roman"/>
          <w:b/>
        </w:rPr>
      </w:pPr>
      <w:r w:rsidRPr="002279E2">
        <w:rPr>
          <w:rFonts w:cs="Times New Roman"/>
          <w:b/>
        </w:rPr>
        <w:t>Relazione tecnica</w:t>
      </w:r>
    </w:p>
    <w:p w:rsidR="00C874C0" w:rsidRPr="002279E2" w:rsidRDefault="00C874C0" w:rsidP="00C874C0">
      <w:pPr>
        <w:rPr>
          <w:rFonts w:eastAsia="Times New Roman" w:cs="Times New Roman"/>
          <w:lang w:eastAsia="it-IT"/>
        </w:rPr>
      </w:pPr>
      <w:r w:rsidRPr="002279E2">
        <w:rPr>
          <w:rFonts w:eastAsia="Times New Roman" w:cs="Times New Roman"/>
          <w:lang w:eastAsia="it-IT"/>
        </w:rPr>
        <w:t>La disposizione prevede la proroga della disciplina del super ammortamento (130 per cento) per gli investimenti complessivi effettuati dal 1° aprile 2019 con consegna fino al 30 giugno 2020.  L’agevolazione si applica sulla base delle disposizioni previste dalla norma della legge n.208 del 2015, fatta eccezione per la possibilità di utilizzare la maggiorazione solo per la quota di investimenti di importo fino a 2,5 milioni di euro.</w:t>
      </w:r>
    </w:p>
    <w:p w:rsidR="00C874C0" w:rsidRPr="002279E2" w:rsidRDefault="00C874C0" w:rsidP="00C874C0">
      <w:pPr>
        <w:rPr>
          <w:rFonts w:eastAsia="Times New Roman" w:cs="Times New Roman"/>
          <w:lang w:eastAsia="it-IT"/>
        </w:rPr>
      </w:pPr>
      <w:r w:rsidRPr="002279E2">
        <w:rPr>
          <w:rFonts w:eastAsia="Times New Roman" w:cs="Times New Roman"/>
          <w:lang w:eastAsia="it-IT"/>
        </w:rPr>
        <w:t xml:space="preserve">La stima è stata effettuata elaborando le informazioni contenute nelle dichiarazioni dei redditi (Società di capitali, Società di persone, Persone fisiche ed Enti non commerciali) presentate dai contribuenti nell’anno 2018 e riferite all’anno d’imposta 2017. </w:t>
      </w:r>
    </w:p>
    <w:p w:rsidR="00C874C0" w:rsidRPr="002279E2" w:rsidRDefault="00C874C0" w:rsidP="00C874C0">
      <w:pPr>
        <w:rPr>
          <w:rFonts w:eastAsia="Times New Roman" w:cs="Times New Roman"/>
          <w:lang w:eastAsia="it-IT"/>
        </w:rPr>
      </w:pPr>
      <w:r w:rsidRPr="002279E2">
        <w:rPr>
          <w:rFonts w:eastAsia="Times New Roman" w:cs="Times New Roman"/>
          <w:lang w:eastAsia="it-IT"/>
        </w:rPr>
        <w:t xml:space="preserve">L’ammontare investito è stato, pertanto, maggiorato del 30 per cento, considerando un periodo di ammortamento di 7 anni, nel rispetto del tetto dei 2,5 milioni di euro. </w:t>
      </w:r>
    </w:p>
    <w:p w:rsidR="00C874C0" w:rsidRPr="002279E2" w:rsidRDefault="00C874C0" w:rsidP="00C874C0">
      <w:pPr>
        <w:rPr>
          <w:rFonts w:eastAsia="Times New Roman" w:cs="Times New Roman"/>
          <w:lang w:eastAsia="it-IT"/>
        </w:rPr>
      </w:pPr>
      <w:r w:rsidRPr="002279E2">
        <w:rPr>
          <w:rFonts w:eastAsia="Times New Roman" w:cs="Times New Roman"/>
          <w:lang w:eastAsia="it-IT"/>
        </w:rPr>
        <w:t xml:space="preserve">Rispetto agli importi così ricostruiti, è stato stimato che la quota parte degli investimenti annuali, attribuibile ad acquisti effettuati nel secondo trimestre dell’anno, corrispondano al 90 % dell’importo totale. </w:t>
      </w:r>
    </w:p>
    <w:p w:rsidR="00C874C0" w:rsidRPr="002279E2" w:rsidRDefault="00C874C0" w:rsidP="00C874C0">
      <w:pPr>
        <w:rPr>
          <w:rFonts w:eastAsia="Times New Roman" w:cs="Times New Roman"/>
          <w:lang w:eastAsia="it-IT"/>
        </w:rPr>
      </w:pPr>
      <w:r w:rsidRPr="002279E2">
        <w:rPr>
          <w:rFonts w:eastAsia="Times New Roman" w:cs="Times New Roman"/>
          <w:lang w:eastAsia="it-IT"/>
        </w:rPr>
        <w:t xml:space="preserve">Si riportano di seguito gli effetti di gettito nelle distribuzioni per competenza e cassa (con acconto IRES del 75%):  </w:t>
      </w:r>
    </w:p>
    <w:p w:rsidR="00C874C0" w:rsidRPr="002279E2" w:rsidRDefault="00C874C0" w:rsidP="00C874C0">
      <w:pPr>
        <w:ind w:firstLine="709"/>
        <w:rPr>
          <w:rFonts w:eastAsia="Times New Roman" w:cs="Times New Roman"/>
          <w:lang w:eastAsia="it-IT"/>
        </w:rPr>
      </w:pPr>
    </w:p>
    <w:tbl>
      <w:tblPr>
        <w:tblW w:w="5000" w:type="pct"/>
        <w:tblCellMar>
          <w:left w:w="70" w:type="dxa"/>
          <w:right w:w="70" w:type="dxa"/>
        </w:tblCellMar>
        <w:tblLook w:val="04A0" w:firstRow="1" w:lastRow="0" w:firstColumn="1" w:lastColumn="0" w:noHBand="0" w:noVBand="1"/>
      </w:tblPr>
      <w:tblGrid>
        <w:gridCol w:w="2969"/>
        <w:gridCol w:w="605"/>
        <w:gridCol w:w="946"/>
        <w:gridCol w:w="720"/>
        <w:gridCol w:w="720"/>
        <w:gridCol w:w="720"/>
        <w:gridCol w:w="720"/>
        <w:gridCol w:w="720"/>
        <w:gridCol w:w="605"/>
        <w:gridCol w:w="605"/>
        <w:gridCol w:w="589"/>
      </w:tblGrid>
      <w:tr w:rsidR="00C874C0" w:rsidRPr="002279E2" w:rsidTr="00C874C0">
        <w:trPr>
          <w:trHeight w:val="300"/>
        </w:trPr>
        <w:tc>
          <w:tcPr>
            <w:tcW w:w="14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4C0" w:rsidRPr="002279E2" w:rsidRDefault="00C874C0" w:rsidP="00C874C0">
            <w:pPr>
              <w:rPr>
                <w:rFonts w:eastAsia="Times New Roman" w:cs="Times New Roman"/>
                <w:b/>
                <w:bCs/>
                <w:color w:val="000000"/>
                <w:lang w:eastAsia="it-IT"/>
              </w:rPr>
            </w:pPr>
            <w:r w:rsidRPr="002279E2">
              <w:rPr>
                <w:rFonts w:eastAsia="Times New Roman" w:cs="Times New Roman"/>
                <w:b/>
                <w:bCs/>
                <w:color w:val="000000"/>
                <w:lang w:eastAsia="it-IT"/>
              </w:rPr>
              <w:t xml:space="preserve">Competenza </w:t>
            </w:r>
          </w:p>
        </w:tc>
        <w:tc>
          <w:tcPr>
            <w:tcW w:w="305" w:type="pct"/>
            <w:tcBorders>
              <w:top w:val="single" w:sz="4" w:space="0" w:color="auto"/>
              <w:left w:val="nil"/>
              <w:bottom w:val="single" w:sz="4" w:space="0" w:color="auto"/>
              <w:right w:val="single" w:sz="4" w:space="0" w:color="auto"/>
            </w:tcBorders>
            <w:shd w:val="clear" w:color="auto" w:fill="auto"/>
            <w:noWrap/>
            <w:vAlign w:val="bottom"/>
            <w:hideMark/>
          </w:tcPr>
          <w:p w:rsidR="00C874C0" w:rsidRPr="002279E2" w:rsidRDefault="00C874C0" w:rsidP="00C874C0">
            <w:pPr>
              <w:jc w:val="center"/>
              <w:rPr>
                <w:rFonts w:eastAsia="Times New Roman" w:cs="Times New Roman"/>
                <w:b/>
                <w:bCs/>
                <w:color w:val="000000"/>
                <w:lang w:eastAsia="it-IT"/>
              </w:rPr>
            </w:pPr>
            <w:r w:rsidRPr="002279E2">
              <w:rPr>
                <w:rFonts w:eastAsia="Times New Roman" w:cs="Times New Roman"/>
                <w:b/>
                <w:bCs/>
                <w:color w:val="000000"/>
                <w:lang w:eastAsia="it-IT"/>
              </w:rPr>
              <w:t>2019</w:t>
            </w:r>
          </w:p>
        </w:tc>
        <w:tc>
          <w:tcPr>
            <w:tcW w:w="477" w:type="pct"/>
            <w:tcBorders>
              <w:top w:val="single" w:sz="4" w:space="0" w:color="auto"/>
              <w:left w:val="nil"/>
              <w:bottom w:val="single" w:sz="4" w:space="0" w:color="auto"/>
              <w:right w:val="single" w:sz="4" w:space="0" w:color="auto"/>
            </w:tcBorders>
            <w:shd w:val="clear" w:color="auto" w:fill="auto"/>
            <w:noWrap/>
            <w:vAlign w:val="bottom"/>
            <w:hideMark/>
          </w:tcPr>
          <w:p w:rsidR="00C874C0" w:rsidRPr="002279E2" w:rsidRDefault="00C874C0" w:rsidP="00C874C0">
            <w:pPr>
              <w:jc w:val="center"/>
              <w:rPr>
                <w:rFonts w:eastAsia="Times New Roman" w:cs="Times New Roman"/>
                <w:b/>
                <w:bCs/>
                <w:color w:val="000000"/>
                <w:lang w:eastAsia="it-IT"/>
              </w:rPr>
            </w:pPr>
            <w:r w:rsidRPr="002279E2">
              <w:rPr>
                <w:rFonts w:eastAsia="Times New Roman" w:cs="Times New Roman"/>
                <w:b/>
                <w:bCs/>
                <w:color w:val="000000"/>
                <w:lang w:eastAsia="it-IT"/>
              </w:rPr>
              <w:t>2020</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C874C0" w:rsidRPr="002279E2" w:rsidRDefault="00C874C0" w:rsidP="00C874C0">
            <w:pPr>
              <w:jc w:val="center"/>
              <w:rPr>
                <w:rFonts w:eastAsia="Times New Roman" w:cs="Times New Roman"/>
                <w:b/>
                <w:bCs/>
                <w:color w:val="000000"/>
                <w:lang w:eastAsia="it-IT"/>
              </w:rPr>
            </w:pPr>
            <w:r w:rsidRPr="002279E2">
              <w:rPr>
                <w:rFonts w:eastAsia="Times New Roman" w:cs="Times New Roman"/>
                <w:b/>
                <w:bCs/>
                <w:color w:val="000000"/>
                <w:lang w:eastAsia="it-IT"/>
              </w:rPr>
              <w:t>2021</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C874C0" w:rsidRPr="002279E2" w:rsidRDefault="00C874C0" w:rsidP="00C874C0">
            <w:pPr>
              <w:jc w:val="center"/>
              <w:rPr>
                <w:rFonts w:eastAsia="Times New Roman" w:cs="Times New Roman"/>
                <w:b/>
                <w:bCs/>
                <w:color w:val="000000"/>
                <w:lang w:eastAsia="it-IT"/>
              </w:rPr>
            </w:pPr>
            <w:r w:rsidRPr="002279E2">
              <w:rPr>
                <w:rFonts w:eastAsia="Times New Roman" w:cs="Times New Roman"/>
                <w:b/>
                <w:bCs/>
                <w:color w:val="000000"/>
                <w:lang w:eastAsia="it-IT"/>
              </w:rPr>
              <w:t>2022</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C874C0" w:rsidRPr="002279E2" w:rsidRDefault="00C874C0" w:rsidP="00C874C0">
            <w:pPr>
              <w:jc w:val="center"/>
              <w:rPr>
                <w:rFonts w:eastAsia="Times New Roman" w:cs="Times New Roman"/>
                <w:b/>
                <w:bCs/>
                <w:color w:val="000000"/>
                <w:lang w:eastAsia="it-IT"/>
              </w:rPr>
            </w:pPr>
            <w:r w:rsidRPr="002279E2">
              <w:rPr>
                <w:rFonts w:eastAsia="Times New Roman" w:cs="Times New Roman"/>
                <w:b/>
                <w:bCs/>
                <w:color w:val="000000"/>
                <w:lang w:eastAsia="it-IT"/>
              </w:rPr>
              <w:t>2023</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C874C0" w:rsidRPr="002279E2" w:rsidRDefault="00C874C0" w:rsidP="00C874C0">
            <w:pPr>
              <w:jc w:val="center"/>
              <w:rPr>
                <w:rFonts w:eastAsia="Times New Roman" w:cs="Times New Roman"/>
                <w:b/>
                <w:bCs/>
                <w:color w:val="000000"/>
                <w:lang w:eastAsia="it-IT"/>
              </w:rPr>
            </w:pPr>
            <w:r w:rsidRPr="002279E2">
              <w:rPr>
                <w:rFonts w:eastAsia="Times New Roman" w:cs="Times New Roman"/>
                <w:b/>
                <w:bCs/>
                <w:color w:val="000000"/>
                <w:lang w:eastAsia="it-IT"/>
              </w:rPr>
              <w:t>2024</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C874C0" w:rsidRPr="002279E2" w:rsidRDefault="00C874C0" w:rsidP="00C874C0">
            <w:pPr>
              <w:jc w:val="center"/>
              <w:rPr>
                <w:rFonts w:eastAsia="Times New Roman" w:cs="Times New Roman"/>
                <w:b/>
                <w:bCs/>
                <w:color w:val="000000"/>
                <w:lang w:eastAsia="it-IT"/>
              </w:rPr>
            </w:pPr>
            <w:r w:rsidRPr="002279E2">
              <w:rPr>
                <w:rFonts w:eastAsia="Times New Roman" w:cs="Times New Roman"/>
                <w:b/>
                <w:bCs/>
                <w:color w:val="000000"/>
                <w:lang w:eastAsia="it-IT"/>
              </w:rPr>
              <w:t>2025</w:t>
            </w:r>
          </w:p>
        </w:tc>
        <w:tc>
          <w:tcPr>
            <w:tcW w:w="305" w:type="pct"/>
            <w:tcBorders>
              <w:top w:val="single" w:sz="4" w:space="0" w:color="auto"/>
              <w:left w:val="nil"/>
              <w:bottom w:val="single" w:sz="4" w:space="0" w:color="auto"/>
              <w:right w:val="single" w:sz="4" w:space="0" w:color="auto"/>
            </w:tcBorders>
            <w:shd w:val="clear" w:color="auto" w:fill="auto"/>
            <w:noWrap/>
            <w:vAlign w:val="bottom"/>
            <w:hideMark/>
          </w:tcPr>
          <w:p w:rsidR="00C874C0" w:rsidRPr="002279E2" w:rsidRDefault="00C874C0" w:rsidP="00C874C0">
            <w:pPr>
              <w:jc w:val="center"/>
              <w:rPr>
                <w:rFonts w:eastAsia="Times New Roman" w:cs="Times New Roman"/>
                <w:b/>
                <w:bCs/>
                <w:color w:val="000000"/>
                <w:lang w:eastAsia="it-IT"/>
              </w:rPr>
            </w:pPr>
            <w:r w:rsidRPr="002279E2">
              <w:rPr>
                <w:rFonts w:eastAsia="Times New Roman" w:cs="Times New Roman"/>
                <w:b/>
                <w:bCs/>
                <w:color w:val="000000"/>
                <w:lang w:eastAsia="it-IT"/>
              </w:rPr>
              <w:t>2026</w:t>
            </w:r>
          </w:p>
        </w:tc>
        <w:tc>
          <w:tcPr>
            <w:tcW w:w="305" w:type="pct"/>
            <w:tcBorders>
              <w:top w:val="single" w:sz="4" w:space="0" w:color="auto"/>
              <w:left w:val="nil"/>
              <w:bottom w:val="single" w:sz="4" w:space="0" w:color="auto"/>
              <w:right w:val="single" w:sz="4" w:space="0" w:color="auto"/>
            </w:tcBorders>
            <w:shd w:val="clear" w:color="auto" w:fill="auto"/>
            <w:noWrap/>
            <w:vAlign w:val="bottom"/>
            <w:hideMark/>
          </w:tcPr>
          <w:p w:rsidR="00C874C0" w:rsidRPr="002279E2" w:rsidRDefault="00C874C0" w:rsidP="00C874C0">
            <w:pPr>
              <w:jc w:val="center"/>
              <w:rPr>
                <w:rFonts w:eastAsia="Times New Roman" w:cs="Times New Roman"/>
                <w:b/>
                <w:bCs/>
                <w:color w:val="000000"/>
                <w:lang w:eastAsia="it-IT"/>
              </w:rPr>
            </w:pPr>
            <w:r w:rsidRPr="002279E2">
              <w:rPr>
                <w:rFonts w:eastAsia="Times New Roman" w:cs="Times New Roman"/>
                <w:b/>
                <w:bCs/>
                <w:color w:val="000000"/>
                <w:lang w:eastAsia="it-IT"/>
              </w:rPr>
              <w:t>2027</w:t>
            </w: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rsidR="00C874C0" w:rsidRPr="002279E2" w:rsidRDefault="00C874C0" w:rsidP="00C874C0">
            <w:pPr>
              <w:jc w:val="center"/>
              <w:rPr>
                <w:rFonts w:eastAsia="Times New Roman" w:cs="Times New Roman"/>
                <w:b/>
                <w:bCs/>
                <w:color w:val="000000"/>
                <w:lang w:eastAsia="it-IT"/>
              </w:rPr>
            </w:pPr>
            <w:r w:rsidRPr="002279E2">
              <w:rPr>
                <w:rFonts w:eastAsia="Times New Roman" w:cs="Times New Roman"/>
                <w:b/>
                <w:bCs/>
                <w:color w:val="000000"/>
                <w:lang w:eastAsia="it-IT"/>
              </w:rPr>
              <w:t>2028</w:t>
            </w:r>
          </w:p>
        </w:tc>
      </w:tr>
      <w:tr w:rsidR="00C874C0" w:rsidRPr="002279E2" w:rsidTr="00C874C0">
        <w:trPr>
          <w:trHeight w:val="1200"/>
        </w:trPr>
        <w:tc>
          <w:tcPr>
            <w:tcW w:w="1496" w:type="pct"/>
            <w:tcBorders>
              <w:top w:val="nil"/>
              <w:left w:val="single" w:sz="4" w:space="0" w:color="auto"/>
              <w:bottom w:val="single" w:sz="4" w:space="0" w:color="auto"/>
              <w:right w:val="single" w:sz="4" w:space="0" w:color="auto"/>
            </w:tcBorders>
            <w:shd w:val="clear" w:color="auto" w:fill="auto"/>
            <w:vAlign w:val="bottom"/>
            <w:hideMark/>
          </w:tcPr>
          <w:p w:rsidR="00C874C0" w:rsidRPr="002279E2" w:rsidRDefault="00C874C0" w:rsidP="00C874C0">
            <w:pPr>
              <w:rPr>
                <w:rFonts w:eastAsia="Times New Roman" w:cs="Times New Roman"/>
                <w:color w:val="000000"/>
                <w:lang w:eastAsia="it-IT"/>
              </w:rPr>
            </w:pPr>
            <w:r w:rsidRPr="002279E2">
              <w:rPr>
                <w:rFonts w:eastAsia="Times New Roman" w:cs="Times New Roman"/>
                <w:color w:val="000000"/>
                <w:lang w:eastAsia="it-IT"/>
              </w:rPr>
              <w:t xml:space="preserve">Ripristino del superammortamento (130%) per gli investimenti effettuati dal 1° aprile 2019, fino alla consegna al 30 giugno 2020, </w:t>
            </w:r>
            <w:r w:rsidRPr="002279E2">
              <w:rPr>
                <w:rFonts w:eastAsia="Times New Roman" w:cs="Times New Roman"/>
                <w:color w:val="000000"/>
                <w:lang w:eastAsia="it-IT"/>
              </w:rPr>
              <w:lastRenderedPageBreak/>
              <w:t>con il tetto a 2,5 milioni di euro.</w:t>
            </w:r>
          </w:p>
        </w:tc>
        <w:tc>
          <w:tcPr>
            <w:tcW w:w="305" w:type="pct"/>
            <w:tcBorders>
              <w:top w:val="nil"/>
              <w:left w:val="nil"/>
              <w:bottom w:val="single" w:sz="4" w:space="0" w:color="auto"/>
              <w:right w:val="single" w:sz="4" w:space="0" w:color="auto"/>
            </w:tcBorders>
            <w:shd w:val="clear" w:color="auto" w:fill="auto"/>
            <w:noWrap/>
            <w:vAlign w:val="center"/>
            <w:hideMark/>
          </w:tcPr>
          <w:p w:rsidR="00C874C0" w:rsidRPr="002279E2" w:rsidRDefault="00C874C0" w:rsidP="00C874C0">
            <w:pPr>
              <w:jc w:val="center"/>
              <w:rPr>
                <w:rFonts w:eastAsia="Times New Roman" w:cs="Times New Roman"/>
                <w:color w:val="000000"/>
                <w:lang w:eastAsia="it-IT"/>
              </w:rPr>
            </w:pPr>
            <w:r w:rsidRPr="002279E2">
              <w:rPr>
                <w:rFonts w:eastAsia="Times New Roman" w:cs="Times New Roman"/>
                <w:color w:val="000000"/>
                <w:lang w:eastAsia="it-IT"/>
              </w:rPr>
              <w:lastRenderedPageBreak/>
              <w:t>-73,5</w:t>
            </w:r>
          </w:p>
        </w:tc>
        <w:tc>
          <w:tcPr>
            <w:tcW w:w="477" w:type="pct"/>
            <w:tcBorders>
              <w:top w:val="nil"/>
              <w:left w:val="nil"/>
              <w:bottom w:val="single" w:sz="4" w:space="0" w:color="auto"/>
              <w:right w:val="single" w:sz="4" w:space="0" w:color="auto"/>
            </w:tcBorders>
            <w:shd w:val="clear" w:color="auto" w:fill="auto"/>
            <w:noWrap/>
            <w:vAlign w:val="center"/>
            <w:hideMark/>
          </w:tcPr>
          <w:p w:rsidR="00C874C0" w:rsidRPr="002279E2" w:rsidRDefault="00C874C0" w:rsidP="00C874C0">
            <w:pPr>
              <w:jc w:val="center"/>
              <w:rPr>
                <w:rFonts w:eastAsia="Times New Roman" w:cs="Times New Roman"/>
                <w:color w:val="000000"/>
                <w:lang w:eastAsia="it-IT"/>
              </w:rPr>
            </w:pPr>
            <w:r w:rsidRPr="002279E2">
              <w:rPr>
                <w:rFonts w:eastAsia="Times New Roman" w:cs="Times New Roman"/>
                <w:color w:val="000000"/>
                <w:lang w:eastAsia="it-IT"/>
              </w:rPr>
              <w:t>-147,0</w:t>
            </w:r>
          </w:p>
        </w:tc>
        <w:tc>
          <w:tcPr>
            <w:tcW w:w="363" w:type="pct"/>
            <w:tcBorders>
              <w:top w:val="nil"/>
              <w:left w:val="nil"/>
              <w:bottom w:val="single" w:sz="4" w:space="0" w:color="auto"/>
              <w:right w:val="single" w:sz="4" w:space="0" w:color="auto"/>
            </w:tcBorders>
            <w:shd w:val="clear" w:color="auto" w:fill="auto"/>
            <w:noWrap/>
            <w:vAlign w:val="center"/>
            <w:hideMark/>
          </w:tcPr>
          <w:p w:rsidR="00C874C0" w:rsidRPr="002279E2" w:rsidRDefault="00C874C0" w:rsidP="00C874C0">
            <w:pPr>
              <w:jc w:val="center"/>
              <w:rPr>
                <w:rFonts w:eastAsia="Times New Roman" w:cs="Times New Roman"/>
                <w:color w:val="000000"/>
                <w:lang w:eastAsia="it-IT"/>
              </w:rPr>
            </w:pPr>
            <w:r w:rsidRPr="002279E2">
              <w:rPr>
                <w:rFonts w:eastAsia="Times New Roman" w:cs="Times New Roman"/>
                <w:color w:val="000000"/>
                <w:lang w:eastAsia="it-IT"/>
              </w:rPr>
              <w:t>-147,0</w:t>
            </w:r>
          </w:p>
        </w:tc>
        <w:tc>
          <w:tcPr>
            <w:tcW w:w="363" w:type="pct"/>
            <w:tcBorders>
              <w:top w:val="nil"/>
              <w:left w:val="nil"/>
              <w:bottom w:val="single" w:sz="4" w:space="0" w:color="auto"/>
              <w:right w:val="single" w:sz="4" w:space="0" w:color="auto"/>
            </w:tcBorders>
            <w:shd w:val="clear" w:color="auto" w:fill="auto"/>
            <w:noWrap/>
            <w:vAlign w:val="center"/>
            <w:hideMark/>
          </w:tcPr>
          <w:p w:rsidR="00C874C0" w:rsidRPr="002279E2" w:rsidRDefault="00C874C0" w:rsidP="00C874C0">
            <w:pPr>
              <w:jc w:val="center"/>
              <w:rPr>
                <w:rFonts w:eastAsia="Times New Roman" w:cs="Times New Roman"/>
                <w:color w:val="000000"/>
                <w:lang w:eastAsia="it-IT"/>
              </w:rPr>
            </w:pPr>
            <w:r w:rsidRPr="002279E2">
              <w:rPr>
                <w:rFonts w:eastAsia="Times New Roman" w:cs="Times New Roman"/>
                <w:color w:val="000000"/>
                <w:lang w:eastAsia="it-IT"/>
              </w:rPr>
              <w:t>-147,0</w:t>
            </w:r>
          </w:p>
        </w:tc>
        <w:tc>
          <w:tcPr>
            <w:tcW w:w="363" w:type="pct"/>
            <w:tcBorders>
              <w:top w:val="nil"/>
              <w:left w:val="nil"/>
              <w:bottom w:val="single" w:sz="4" w:space="0" w:color="auto"/>
              <w:right w:val="single" w:sz="4" w:space="0" w:color="auto"/>
            </w:tcBorders>
            <w:shd w:val="clear" w:color="auto" w:fill="auto"/>
            <w:noWrap/>
            <w:vAlign w:val="center"/>
            <w:hideMark/>
          </w:tcPr>
          <w:p w:rsidR="00C874C0" w:rsidRPr="002279E2" w:rsidRDefault="00C874C0" w:rsidP="00C874C0">
            <w:pPr>
              <w:jc w:val="center"/>
              <w:rPr>
                <w:rFonts w:eastAsia="Times New Roman" w:cs="Times New Roman"/>
                <w:color w:val="000000"/>
                <w:lang w:eastAsia="it-IT"/>
              </w:rPr>
            </w:pPr>
            <w:r w:rsidRPr="002279E2">
              <w:rPr>
                <w:rFonts w:eastAsia="Times New Roman" w:cs="Times New Roman"/>
                <w:color w:val="000000"/>
                <w:lang w:eastAsia="it-IT"/>
              </w:rPr>
              <w:t>-147,0</w:t>
            </w:r>
          </w:p>
        </w:tc>
        <w:tc>
          <w:tcPr>
            <w:tcW w:w="363" w:type="pct"/>
            <w:tcBorders>
              <w:top w:val="nil"/>
              <w:left w:val="nil"/>
              <w:bottom w:val="single" w:sz="4" w:space="0" w:color="auto"/>
              <w:right w:val="single" w:sz="4" w:space="0" w:color="auto"/>
            </w:tcBorders>
            <w:shd w:val="clear" w:color="auto" w:fill="auto"/>
            <w:noWrap/>
            <w:vAlign w:val="center"/>
            <w:hideMark/>
          </w:tcPr>
          <w:p w:rsidR="00C874C0" w:rsidRPr="002279E2" w:rsidRDefault="00C874C0" w:rsidP="00C874C0">
            <w:pPr>
              <w:jc w:val="center"/>
              <w:rPr>
                <w:rFonts w:eastAsia="Times New Roman" w:cs="Times New Roman"/>
                <w:color w:val="000000"/>
                <w:lang w:eastAsia="it-IT"/>
              </w:rPr>
            </w:pPr>
            <w:r w:rsidRPr="002279E2">
              <w:rPr>
                <w:rFonts w:eastAsia="Times New Roman" w:cs="Times New Roman"/>
                <w:color w:val="000000"/>
                <w:lang w:eastAsia="it-IT"/>
              </w:rPr>
              <w:t>-147,0</w:t>
            </w:r>
          </w:p>
        </w:tc>
        <w:tc>
          <w:tcPr>
            <w:tcW w:w="363" w:type="pct"/>
            <w:tcBorders>
              <w:top w:val="nil"/>
              <w:left w:val="nil"/>
              <w:bottom w:val="single" w:sz="4" w:space="0" w:color="auto"/>
              <w:right w:val="single" w:sz="4" w:space="0" w:color="auto"/>
            </w:tcBorders>
            <w:shd w:val="clear" w:color="auto" w:fill="auto"/>
            <w:noWrap/>
            <w:vAlign w:val="center"/>
            <w:hideMark/>
          </w:tcPr>
          <w:p w:rsidR="00C874C0" w:rsidRPr="002279E2" w:rsidRDefault="00C874C0" w:rsidP="00C874C0">
            <w:pPr>
              <w:jc w:val="center"/>
              <w:rPr>
                <w:rFonts w:eastAsia="Times New Roman" w:cs="Times New Roman"/>
                <w:color w:val="000000"/>
                <w:lang w:eastAsia="it-IT"/>
              </w:rPr>
            </w:pPr>
            <w:r w:rsidRPr="002279E2">
              <w:rPr>
                <w:rFonts w:eastAsia="Times New Roman" w:cs="Times New Roman"/>
                <w:color w:val="000000"/>
                <w:lang w:eastAsia="it-IT"/>
              </w:rPr>
              <w:t>-73,5</w:t>
            </w:r>
          </w:p>
        </w:tc>
        <w:tc>
          <w:tcPr>
            <w:tcW w:w="305" w:type="pct"/>
            <w:tcBorders>
              <w:top w:val="nil"/>
              <w:left w:val="nil"/>
              <w:bottom w:val="single" w:sz="4" w:space="0" w:color="auto"/>
              <w:right w:val="single" w:sz="4" w:space="0" w:color="auto"/>
            </w:tcBorders>
            <w:shd w:val="clear" w:color="auto" w:fill="auto"/>
            <w:noWrap/>
            <w:vAlign w:val="center"/>
            <w:hideMark/>
          </w:tcPr>
          <w:p w:rsidR="00C874C0" w:rsidRPr="002279E2" w:rsidRDefault="00C874C0" w:rsidP="00C874C0">
            <w:pPr>
              <w:jc w:val="center"/>
              <w:rPr>
                <w:rFonts w:eastAsia="Times New Roman" w:cs="Times New Roman"/>
                <w:color w:val="000000"/>
                <w:lang w:eastAsia="it-IT"/>
              </w:rPr>
            </w:pPr>
            <w:r w:rsidRPr="002279E2">
              <w:rPr>
                <w:rFonts w:eastAsia="Times New Roman" w:cs="Times New Roman"/>
                <w:color w:val="000000"/>
                <w:lang w:eastAsia="it-IT"/>
              </w:rPr>
              <w:t>0</w:t>
            </w:r>
          </w:p>
        </w:tc>
        <w:tc>
          <w:tcPr>
            <w:tcW w:w="305" w:type="pct"/>
            <w:tcBorders>
              <w:top w:val="nil"/>
              <w:left w:val="nil"/>
              <w:bottom w:val="single" w:sz="4" w:space="0" w:color="auto"/>
              <w:right w:val="single" w:sz="4" w:space="0" w:color="auto"/>
            </w:tcBorders>
            <w:shd w:val="clear" w:color="auto" w:fill="auto"/>
            <w:noWrap/>
            <w:vAlign w:val="center"/>
            <w:hideMark/>
          </w:tcPr>
          <w:p w:rsidR="00C874C0" w:rsidRPr="002279E2" w:rsidRDefault="00C874C0" w:rsidP="00C874C0">
            <w:pPr>
              <w:jc w:val="center"/>
              <w:rPr>
                <w:rFonts w:eastAsia="Times New Roman" w:cs="Times New Roman"/>
                <w:color w:val="000000"/>
                <w:lang w:eastAsia="it-IT"/>
              </w:rPr>
            </w:pPr>
            <w:r w:rsidRPr="002279E2">
              <w:rPr>
                <w:rFonts w:eastAsia="Times New Roman" w:cs="Times New Roman"/>
                <w:color w:val="000000"/>
                <w:lang w:eastAsia="it-IT"/>
              </w:rPr>
              <w:t>0</w:t>
            </w:r>
          </w:p>
        </w:tc>
        <w:tc>
          <w:tcPr>
            <w:tcW w:w="298" w:type="pct"/>
            <w:tcBorders>
              <w:top w:val="nil"/>
              <w:left w:val="nil"/>
              <w:bottom w:val="single" w:sz="4" w:space="0" w:color="auto"/>
              <w:right w:val="single" w:sz="4" w:space="0" w:color="auto"/>
            </w:tcBorders>
            <w:shd w:val="clear" w:color="auto" w:fill="auto"/>
            <w:noWrap/>
            <w:vAlign w:val="center"/>
            <w:hideMark/>
          </w:tcPr>
          <w:p w:rsidR="00C874C0" w:rsidRPr="002279E2" w:rsidRDefault="00C874C0" w:rsidP="00C874C0">
            <w:pPr>
              <w:jc w:val="center"/>
              <w:rPr>
                <w:rFonts w:eastAsia="Times New Roman" w:cs="Times New Roman"/>
                <w:color w:val="000000"/>
                <w:lang w:eastAsia="it-IT"/>
              </w:rPr>
            </w:pPr>
            <w:r w:rsidRPr="002279E2">
              <w:rPr>
                <w:rFonts w:eastAsia="Times New Roman" w:cs="Times New Roman"/>
                <w:color w:val="000000"/>
                <w:lang w:eastAsia="it-IT"/>
              </w:rPr>
              <w:t>0</w:t>
            </w:r>
          </w:p>
        </w:tc>
      </w:tr>
    </w:tbl>
    <w:p w:rsidR="00C874C0" w:rsidRPr="002279E2" w:rsidRDefault="00C874C0" w:rsidP="00C874C0">
      <w:pPr>
        <w:spacing w:line="259" w:lineRule="auto"/>
        <w:rPr>
          <w:rFonts w:ascii="Segoe UI" w:hAnsi="Segoe UI" w:cs="Segoe UI"/>
          <w:highlight w:val="yellow"/>
          <w:u w:val="single"/>
        </w:rPr>
      </w:pPr>
      <w:r w:rsidRPr="002279E2">
        <w:rPr>
          <w:rFonts w:ascii="Segoe UI" w:eastAsia="Times New Roman" w:hAnsi="Segoe UI" w:cs="Segoe UI"/>
          <w:i/>
          <w:iCs/>
          <w:color w:val="000000"/>
          <w:lang w:eastAsia="it-IT"/>
        </w:rPr>
        <w:lastRenderedPageBreak/>
        <w:t>Milioni di euro</w:t>
      </w:r>
    </w:p>
    <w:tbl>
      <w:tblPr>
        <w:tblW w:w="5000" w:type="pct"/>
        <w:tblCellMar>
          <w:left w:w="70" w:type="dxa"/>
          <w:right w:w="70" w:type="dxa"/>
        </w:tblCellMar>
        <w:tblLook w:val="04A0" w:firstRow="1" w:lastRow="0" w:firstColumn="1" w:lastColumn="0" w:noHBand="0" w:noVBand="1"/>
      </w:tblPr>
      <w:tblGrid>
        <w:gridCol w:w="2943"/>
        <w:gridCol w:w="595"/>
        <w:gridCol w:w="720"/>
        <w:gridCol w:w="974"/>
        <w:gridCol w:w="720"/>
        <w:gridCol w:w="720"/>
        <w:gridCol w:w="720"/>
        <w:gridCol w:w="720"/>
        <w:gridCol w:w="609"/>
        <w:gridCol w:w="605"/>
        <w:gridCol w:w="593"/>
      </w:tblGrid>
      <w:tr w:rsidR="00C874C0" w:rsidRPr="002279E2" w:rsidTr="00C874C0">
        <w:trPr>
          <w:trHeight w:val="300"/>
        </w:trPr>
        <w:tc>
          <w:tcPr>
            <w:tcW w:w="14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4C0" w:rsidRPr="002279E2" w:rsidRDefault="00C874C0" w:rsidP="00C874C0">
            <w:pPr>
              <w:rPr>
                <w:rFonts w:eastAsia="Times New Roman" w:cs="Times New Roman"/>
                <w:b/>
                <w:bCs/>
                <w:color w:val="000000"/>
                <w:lang w:eastAsia="it-IT"/>
              </w:rPr>
            </w:pPr>
            <w:r w:rsidRPr="002279E2">
              <w:rPr>
                <w:rFonts w:eastAsia="Times New Roman" w:cs="Times New Roman"/>
                <w:b/>
                <w:bCs/>
                <w:color w:val="000000"/>
                <w:lang w:eastAsia="it-IT"/>
              </w:rPr>
              <w:t>Cassa</w:t>
            </w:r>
          </w:p>
        </w:tc>
        <w:tc>
          <w:tcPr>
            <w:tcW w:w="300" w:type="pct"/>
            <w:tcBorders>
              <w:top w:val="single" w:sz="4" w:space="0" w:color="auto"/>
              <w:left w:val="nil"/>
              <w:bottom w:val="single" w:sz="4" w:space="0" w:color="auto"/>
              <w:right w:val="single" w:sz="4" w:space="0" w:color="auto"/>
            </w:tcBorders>
            <w:shd w:val="clear" w:color="auto" w:fill="auto"/>
            <w:noWrap/>
            <w:vAlign w:val="bottom"/>
            <w:hideMark/>
          </w:tcPr>
          <w:p w:rsidR="00C874C0" w:rsidRPr="002279E2" w:rsidRDefault="00C874C0" w:rsidP="00C874C0">
            <w:pPr>
              <w:jc w:val="center"/>
              <w:rPr>
                <w:rFonts w:eastAsia="Times New Roman" w:cs="Times New Roman"/>
                <w:b/>
                <w:bCs/>
                <w:color w:val="000000"/>
                <w:lang w:eastAsia="it-IT"/>
              </w:rPr>
            </w:pPr>
            <w:r w:rsidRPr="002279E2">
              <w:rPr>
                <w:rFonts w:eastAsia="Times New Roman" w:cs="Times New Roman"/>
                <w:b/>
                <w:bCs/>
                <w:color w:val="000000"/>
                <w:lang w:eastAsia="it-IT"/>
              </w:rPr>
              <w:t>2019</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C874C0" w:rsidRPr="002279E2" w:rsidRDefault="00C874C0" w:rsidP="00C874C0">
            <w:pPr>
              <w:jc w:val="center"/>
              <w:rPr>
                <w:rFonts w:eastAsia="Times New Roman" w:cs="Times New Roman"/>
                <w:b/>
                <w:bCs/>
                <w:color w:val="000000"/>
                <w:lang w:eastAsia="it-IT"/>
              </w:rPr>
            </w:pPr>
            <w:r w:rsidRPr="002279E2">
              <w:rPr>
                <w:rFonts w:eastAsia="Times New Roman" w:cs="Times New Roman"/>
                <w:b/>
                <w:bCs/>
                <w:color w:val="000000"/>
                <w:lang w:eastAsia="it-IT"/>
              </w:rPr>
              <w:t>2020</w:t>
            </w:r>
          </w:p>
        </w:tc>
        <w:tc>
          <w:tcPr>
            <w:tcW w:w="491" w:type="pct"/>
            <w:tcBorders>
              <w:top w:val="single" w:sz="4" w:space="0" w:color="auto"/>
              <w:left w:val="nil"/>
              <w:bottom w:val="single" w:sz="4" w:space="0" w:color="auto"/>
              <w:right w:val="single" w:sz="4" w:space="0" w:color="auto"/>
            </w:tcBorders>
            <w:shd w:val="clear" w:color="auto" w:fill="auto"/>
            <w:noWrap/>
            <w:vAlign w:val="bottom"/>
            <w:hideMark/>
          </w:tcPr>
          <w:p w:rsidR="00C874C0" w:rsidRPr="002279E2" w:rsidRDefault="00C874C0" w:rsidP="00C874C0">
            <w:pPr>
              <w:jc w:val="center"/>
              <w:rPr>
                <w:rFonts w:eastAsia="Times New Roman" w:cs="Times New Roman"/>
                <w:b/>
                <w:bCs/>
                <w:color w:val="000000"/>
                <w:lang w:eastAsia="it-IT"/>
              </w:rPr>
            </w:pPr>
            <w:r w:rsidRPr="002279E2">
              <w:rPr>
                <w:rFonts w:eastAsia="Times New Roman" w:cs="Times New Roman"/>
                <w:b/>
                <w:bCs/>
                <w:color w:val="000000"/>
                <w:lang w:eastAsia="it-IT"/>
              </w:rPr>
              <w:t>2021</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C874C0" w:rsidRPr="002279E2" w:rsidRDefault="00C874C0" w:rsidP="00C874C0">
            <w:pPr>
              <w:jc w:val="center"/>
              <w:rPr>
                <w:rFonts w:eastAsia="Times New Roman" w:cs="Times New Roman"/>
                <w:b/>
                <w:bCs/>
                <w:color w:val="000000"/>
                <w:lang w:eastAsia="it-IT"/>
              </w:rPr>
            </w:pPr>
            <w:r w:rsidRPr="002279E2">
              <w:rPr>
                <w:rFonts w:eastAsia="Times New Roman" w:cs="Times New Roman"/>
                <w:b/>
                <w:bCs/>
                <w:color w:val="000000"/>
                <w:lang w:eastAsia="it-IT"/>
              </w:rPr>
              <w:t>2022</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C874C0" w:rsidRPr="002279E2" w:rsidRDefault="00C874C0" w:rsidP="00C874C0">
            <w:pPr>
              <w:jc w:val="center"/>
              <w:rPr>
                <w:rFonts w:eastAsia="Times New Roman" w:cs="Times New Roman"/>
                <w:b/>
                <w:bCs/>
                <w:color w:val="000000"/>
                <w:lang w:eastAsia="it-IT"/>
              </w:rPr>
            </w:pPr>
            <w:r w:rsidRPr="002279E2">
              <w:rPr>
                <w:rFonts w:eastAsia="Times New Roman" w:cs="Times New Roman"/>
                <w:b/>
                <w:bCs/>
                <w:color w:val="000000"/>
                <w:lang w:eastAsia="it-IT"/>
              </w:rPr>
              <w:t>2023</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C874C0" w:rsidRPr="002279E2" w:rsidRDefault="00C874C0" w:rsidP="00C874C0">
            <w:pPr>
              <w:jc w:val="center"/>
              <w:rPr>
                <w:rFonts w:eastAsia="Times New Roman" w:cs="Times New Roman"/>
                <w:b/>
                <w:bCs/>
                <w:color w:val="000000"/>
                <w:lang w:eastAsia="it-IT"/>
              </w:rPr>
            </w:pPr>
            <w:r w:rsidRPr="002279E2">
              <w:rPr>
                <w:rFonts w:eastAsia="Times New Roman" w:cs="Times New Roman"/>
                <w:b/>
                <w:bCs/>
                <w:color w:val="000000"/>
                <w:lang w:eastAsia="it-IT"/>
              </w:rPr>
              <w:t>2024</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rsidR="00C874C0" w:rsidRPr="002279E2" w:rsidRDefault="00C874C0" w:rsidP="00C874C0">
            <w:pPr>
              <w:jc w:val="center"/>
              <w:rPr>
                <w:rFonts w:eastAsia="Times New Roman" w:cs="Times New Roman"/>
                <w:b/>
                <w:bCs/>
                <w:color w:val="000000"/>
                <w:lang w:eastAsia="it-IT"/>
              </w:rPr>
            </w:pPr>
            <w:r w:rsidRPr="002279E2">
              <w:rPr>
                <w:rFonts w:eastAsia="Times New Roman" w:cs="Times New Roman"/>
                <w:b/>
                <w:bCs/>
                <w:color w:val="000000"/>
                <w:lang w:eastAsia="it-IT"/>
              </w:rPr>
              <w:t>2025</w:t>
            </w:r>
          </w:p>
        </w:tc>
        <w:tc>
          <w:tcPr>
            <w:tcW w:w="307" w:type="pct"/>
            <w:tcBorders>
              <w:top w:val="single" w:sz="4" w:space="0" w:color="auto"/>
              <w:left w:val="nil"/>
              <w:bottom w:val="single" w:sz="4" w:space="0" w:color="auto"/>
              <w:right w:val="single" w:sz="4" w:space="0" w:color="auto"/>
            </w:tcBorders>
            <w:shd w:val="clear" w:color="auto" w:fill="auto"/>
            <w:noWrap/>
            <w:vAlign w:val="bottom"/>
            <w:hideMark/>
          </w:tcPr>
          <w:p w:rsidR="00C874C0" w:rsidRPr="002279E2" w:rsidRDefault="00C874C0" w:rsidP="00C874C0">
            <w:pPr>
              <w:jc w:val="center"/>
              <w:rPr>
                <w:rFonts w:eastAsia="Times New Roman" w:cs="Times New Roman"/>
                <w:b/>
                <w:bCs/>
                <w:color w:val="000000"/>
                <w:lang w:eastAsia="it-IT"/>
              </w:rPr>
            </w:pPr>
            <w:r w:rsidRPr="002279E2">
              <w:rPr>
                <w:rFonts w:eastAsia="Times New Roman" w:cs="Times New Roman"/>
                <w:b/>
                <w:bCs/>
                <w:color w:val="000000"/>
                <w:lang w:eastAsia="it-IT"/>
              </w:rPr>
              <w:t>2026</w:t>
            </w:r>
          </w:p>
        </w:tc>
        <w:tc>
          <w:tcPr>
            <w:tcW w:w="305" w:type="pct"/>
            <w:tcBorders>
              <w:top w:val="single" w:sz="4" w:space="0" w:color="auto"/>
              <w:left w:val="nil"/>
              <w:bottom w:val="single" w:sz="4" w:space="0" w:color="auto"/>
              <w:right w:val="single" w:sz="4" w:space="0" w:color="auto"/>
            </w:tcBorders>
            <w:shd w:val="clear" w:color="auto" w:fill="auto"/>
            <w:noWrap/>
            <w:vAlign w:val="bottom"/>
            <w:hideMark/>
          </w:tcPr>
          <w:p w:rsidR="00C874C0" w:rsidRPr="002279E2" w:rsidRDefault="00C874C0" w:rsidP="00C874C0">
            <w:pPr>
              <w:jc w:val="center"/>
              <w:rPr>
                <w:rFonts w:eastAsia="Times New Roman" w:cs="Times New Roman"/>
                <w:b/>
                <w:bCs/>
                <w:color w:val="000000"/>
                <w:lang w:eastAsia="it-IT"/>
              </w:rPr>
            </w:pPr>
            <w:r w:rsidRPr="002279E2">
              <w:rPr>
                <w:rFonts w:eastAsia="Times New Roman" w:cs="Times New Roman"/>
                <w:b/>
                <w:bCs/>
                <w:color w:val="000000"/>
                <w:lang w:eastAsia="it-IT"/>
              </w:rPr>
              <w:t>2027</w:t>
            </w:r>
          </w:p>
        </w:tc>
        <w:tc>
          <w:tcPr>
            <w:tcW w:w="300" w:type="pct"/>
            <w:tcBorders>
              <w:top w:val="single" w:sz="4" w:space="0" w:color="auto"/>
              <w:left w:val="nil"/>
              <w:bottom w:val="single" w:sz="4" w:space="0" w:color="auto"/>
              <w:right w:val="single" w:sz="4" w:space="0" w:color="auto"/>
            </w:tcBorders>
            <w:shd w:val="clear" w:color="auto" w:fill="auto"/>
            <w:noWrap/>
            <w:vAlign w:val="bottom"/>
            <w:hideMark/>
          </w:tcPr>
          <w:p w:rsidR="00C874C0" w:rsidRPr="002279E2" w:rsidRDefault="00C874C0" w:rsidP="00C874C0">
            <w:pPr>
              <w:jc w:val="center"/>
              <w:rPr>
                <w:rFonts w:eastAsia="Times New Roman" w:cs="Times New Roman"/>
                <w:b/>
                <w:bCs/>
                <w:color w:val="000000"/>
                <w:lang w:eastAsia="it-IT"/>
              </w:rPr>
            </w:pPr>
            <w:r w:rsidRPr="002279E2">
              <w:rPr>
                <w:rFonts w:eastAsia="Times New Roman" w:cs="Times New Roman"/>
                <w:b/>
                <w:bCs/>
                <w:color w:val="000000"/>
                <w:lang w:eastAsia="it-IT"/>
              </w:rPr>
              <w:t>2028</w:t>
            </w:r>
          </w:p>
        </w:tc>
      </w:tr>
      <w:tr w:rsidR="00C874C0" w:rsidRPr="002279E2" w:rsidTr="00C874C0">
        <w:trPr>
          <w:trHeight w:val="1200"/>
        </w:trPr>
        <w:tc>
          <w:tcPr>
            <w:tcW w:w="1483" w:type="pct"/>
            <w:tcBorders>
              <w:top w:val="nil"/>
              <w:left w:val="single" w:sz="4" w:space="0" w:color="auto"/>
              <w:bottom w:val="single" w:sz="4" w:space="0" w:color="auto"/>
              <w:right w:val="single" w:sz="4" w:space="0" w:color="auto"/>
            </w:tcBorders>
            <w:shd w:val="clear" w:color="auto" w:fill="auto"/>
            <w:vAlign w:val="bottom"/>
            <w:hideMark/>
          </w:tcPr>
          <w:p w:rsidR="00C874C0" w:rsidRPr="002279E2" w:rsidRDefault="00C874C0" w:rsidP="00C874C0">
            <w:pPr>
              <w:rPr>
                <w:rFonts w:eastAsia="Times New Roman" w:cs="Times New Roman"/>
                <w:color w:val="000000"/>
                <w:lang w:eastAsia="it-IT"/>
              </w:rPr>
            </w:pPr>
            <w:r w:rsidRPr="002279E2">
              <w:rPr>
                <w:rFonts w:eastAsia="Times New Roman" w:cs="Times New Roman"/>
                <w:color w:val="000000"/>
                <w:lang w:eastAsia="it-IT"/>
              </w:rPr>
              <w:t>Ripristino del superammortamento (130%) per gli investimenti effettuati dal 1° aprile 2019, fino alla consegna al 30 giugno 2020, con il tetto a 2,5 milioni di euro.</w:t>
            </w:r>
          </w:p>
        </w:tc>
        <w:tc>
          <w:tcPr>
            <w:tcW w:w="300" w:type="pct"/>
            <w:tcBorders>
              <w:top w:val="nil"/>
              <w:left w:val="nil"/>
              <w:bottom w:val="single" w:sz="4" w:space="0" w:color="auto"/>
              <w:right w:val="single" w:sz="4" w:space="0" w:color="auto"/>
            </w:tcBorders>
            <w:shd w:val="clear" w:color="auto" w:fill="auto"/>
            <w:noWrap/>
            <w:vAlign w:val="center"/>
            <w:hideMark/>
          </w:tcPr>
          <w:p w:rsidR="00C874C0" w:rsidRPr="002279E2" w:rsidRDefault="00C874C0" w:rsidP="00C874C0">
            <w:pPr>
              <w:jc w:val="center"/>
              <w:rPr>
                <w:rFonts w:eastAsia="Times New Roman" w:cs="Times New Roman"/>
                <w:color w:val="000000"/>
                <w:lang w:eastAsia="it-IT"/>
              </w:rPr>
            </w:pPr>
            <w:r w:rsidRPr="002279E2">
              <w:rPr>
                <w:rFonts w:eastAsia="Times New Roman" w:cs="Times New Roman"/>
                <w:color w:val="000000"/>
                <w:lang w:eastAsia="it-IT"/>
              </w:rPr>
              <w:t>0</w:t>
            </w:r>
          </w:p>
        </w:tc>
        <w:tc>
          <w:tcPr>
            <w:tcW w:w="363" w:type="pct"/>
            <w:tcBorders>
              <w:top w:val="nil"/>
              <w:left w:val="nil"/>
              <w:bottom w:val="single" w:sz="4" w:space="0" w:color="auto"/>
              <w:right w:val="single" w:sz="4" w:space="0" w:color="auto"/>
            </w:tcBorders>
            <w:shd w:val="clear" w:color="auto" w:fill="auto"/>
            <w:noWrap/>
            <w:vAlign w:val="center"/>
            <w:hideMark/>
          </w:tcPr>
          <w:p w:rsidR="00C874C0" w:rsidRPr="002279E2" w:rsidRDefault="00C874C0" w:rsidP="00C874C0">
            <w:pPr>
              <w:jc w:val="center"/>
              <w:rPr>
                <w:rFonts w:eastAsia="Times New Roman" w:cs="Times New Roman"/>
                <w:color w:val="000000"/>
                <w:lang w:eastAsia="it-IT"/>
              </w:rPr>
            </w:pPr>
            <w:r w:rsidRPr="002279E2">
              <w:rPr>
                <w:rFonts w:eastAsia="Times New Roman" w:cs="Times New Roman"/>
                <w:color w:val="000000"/>
                <w:lang w:eastAsia="it-IT"/>
              </w:rPr>
              <w:t>-128,6</w:t>
            </w:r>
          </w:p>
        </w:tc>
        <w:tc>
          <w:tcPr>
            <w:tcW w:w="491" w:type="pct"/>
            <w:tcBorders>
              <w:top w:val="nil"/>
              <w:left w:val="nil"/>
              <w:bottom w:val="single" w:sz="4" w:space="0" w:color="auto"/>
              <w:right w:val="single" w:sz="4" w:space="0" w:color="auto"/>
            </w:tcBorders>
            <w:shd w:val="clear" w:color="auto" w:fill="auto"/>
            <w:noWrap/>
            <w:vAlign w:val="center"/>
            <w:hideMark/>
          </w:tcPr>
          <w:p w:rsidR="00C874C0" w:rsidRPr="002279E2" w:rsidRDefault="00C874C0" w:rsidP="00C874C0">
            <w:pPr>
              <w:jc w:val="center"/>
              <w:rPr>
                <w:rFonts w:eastAsia="Times New Roman" w:cs="Times New Roman"/>
                <w:color w:val="000000"/>
                <w:lang w:eastAsia="it-IT"/>
              </w:rPr>
            </w:pPr>
            <w:r w:rsidRPr="002279E2">
              <w:rPr>
                <w:rFonts w:eastAsia="Times New Roman" w:cs="Times New Roman"/>
                <w:color w:val="000000"/>
                <w:lang w:eastAsia="it-IT"/>
              </w:rPr>
              <w:t>-202,1</w:t>
            </w:r>
          </w:p>
        </w:tc>
        <w:tc>
          <w:tcPr>
            <w:tcW w:w="363" w:type="pct"/>
            <w:tcBorders>
              <w:top w:val="nil"/>
              <w:left w:val="nil"/>
              <w:bottom w:val="single" w:sz="4" w:space="0" w:color="auto"/>
              <w:right w:val="single" w:sz="4" w:space="0" w:color="auto"/>
            </w:tcBorders>
            <w:shd w:val="clear" w:color="auto" w:fill="auto"/>
            <w:noWrap/>
            <w:vAlign w:val="center"/>
            <w:hideMark/>
          </w:tcPr>
          <w:p w:rsidR="00C874C0" w:rsidRPr="002279E2" w:rsidRDefault="00C874C0" w:rsidP="00C874C0">
            <w:pPr>
              <w:jc w:val="center"/>
              <w:rPr>
                <w:rFonts w:eastAsia="Times New Roman" w:cs="Times New Roman"/>
                <w:color w:val="000000"/>
                <w:lang w:eastAsia="it-IT"/>
              </w:rPr>
            </w:pPr>
            <w:r w:rsidRPr="002279E2">
              <w:rPr>
                <w:rFonts w:eastAsia="Times New Roman" w:cs="Times New Roman"/>
                <w:color w:val="000000"/>
                <w:lang w:eastAsia="it-IT"/>
              </w:rPr>
              <w:t>-147,0</w:t>
            </w:r>
          </w:p>
        </w:tc>
        <w:tc>
          <w:tcPr>
            <w:tcW w:w="363" w:type="pct"/>
            <w:tcBorders>
              <w:top w:val="nil"/>
              <w:left w:val="nil"/>
              <w:bottom w:val="single" w:sz="4" w:space="0" w:color="auto"/>
              <w:right w:val="single" w:sz="4" w:space="0" w:color="auto"/>
            </w:tcBorders>
            <w:shd w:val="clear" w:color="auto" w:fill="auto"/>
            <w:noWrap/>
            <w:vAlign w:val="center"/>
            <w:hideMark/>
          </w:tcPr>
          <w:p w:rsidR="00C874C0" w:rsidRPr="002279E2" w:rsidRDefault="00C874C0" w:rsidP="00C874C0">
            <w:pPr>
              <w:jc w:val="center"/>
              <w:rPr>
                <w:rFonts w:eastAsia="Times New Roman" w:cs="Times New Roman"/>
                <w:color w:val="000000"/>
                <w:lang w:eastAsia="it-IT"/>
              </w:rPr>
            </w:pPr>
            <w:r w:rsidRPr="002279E2">
              <w:rPr>
                <w:rFonts w:eastAsia="Times New Roman" w:cs="Times New Roman"/>
                <w:color w:val="000000"/>
                <w:lang w:eastAsia="it-IT"/>
              </w:rPr>
              <w:t>-147,0</w:t>
            </w:r>
          </w:p>
        </w:tc>
        <w:tc>
          <w:tcPr>
            <w:tcW w:w="363" w:type="pct"/>
            <w:tcBorders>
              <w:top w:val="nil"/>
              <w:left w:val="nil"/>
              <w:bottom w:val="single" w:sz="4" w:space="0" w:color="auto"/>
              <w:right w:val="single" w:sz="4" w:space="0" w:color="auto"/>
            </w:tcBorders>
            <w:shd w:val="clear" w:color="auto" w:fill="auto"/>
            <w:noWrap/>
            <w:vAlign w:val="center"/>
            <w:hideMark/>
          </w:tcPr>
          <w:p w:rsidR="00C874C0" w:rsidRPr="002279E2" w:rsidRDefault="00C874C0" w:rsidP="00C874C0">
            <w:pPr>
              <w:jc w:val="center"/>
              <w:rPr>
                <w:rFonts w:eastAsia="Times New Roman" w:cs="Times New Roman"/>
                <w:color w:val="000000"/>
                <w:lang w:eastAsia="it-IT"/>
              </w:rPr>
            </w:pPr>
            <w:r w:rsidRPr="002279E2">
              <w:rPr>
                <w:rFonts w:eastAsia="Times New Roman" w:cs="Times New Roman"/>
                <w:color w:val="000000"/>
                <w:lang w:eastAsia="it-IT"/>
              </w:rPr>
              <w:t>-147,0</w:t>
            </w:r>
          </w:p>
        </w:tc>
        <w:tc>
          <w:tcPr>
            <w:tcW w:w="363" w:type="pct"/>
            <w:tcBorders>
              <w:top w:val="nil"/>
              <w:left w:val="nil"/>
              <w:bottom w:val="single" w:sz="4" w:space="0" w:color="auto"/>
              <w:right w:val="single" w:sz="4" w:space="0" w:color="auto"/>
            </w:tcBorders>
            <w:shd w:val="clear" w:color="auto" w:fill="auto"/>
            <w:noWrap/>
            <w:vAlign w:val="center"/>
            <w:hideMark/>
          </w:tcPr>
          <w:p w:rsidR="00C874C0" w:rsidRPr="002279E2" w:rsidRDefault="00C874C0" w:rsidP="00C874C0">
            <w:pPr>
              <w:jc w:val="center"/>
              <w:rPr>
                <w:rFonts w:eastAsia="Times New Roman" w:cs="Times New Roman"/>
                <w:color w:val="000000"/>
                <w:lang w:eastAsia="it-IT"/>
              </w:rPr>
            </w:pPr>
            <w:r w:rsidRPr="002279E2">
              <w:rPr>
                <w:rFonts w:eastAsia="Times New Roman" w:cs="Times New Roman"/>
                <w:color w:val="000000"/>
                <w:lang w:eastAsia="it-IT"/>
              </w:rPr>
              <w:t>-147,0</w:t>
            </w:r>
          </w:p>
        </w:tc>
        <w:tc>
          <w:tcPr>
            <w:tcW w:w="307" w:type="pct"/>
            <w:tcBorders>
              <w:top w:val="nil"/>
              <w:left w:val="nil"/>
              <w:bottom w:val="single" w:sz="4" w:space="0" w:color="auto"/>
              <w:right w:val="single" w:sz="4" w:space="0" w:color="auto"/>
            </w:tcBorders>
            <w:shd w:val="clear" w:color="auto" w:fill="auto"/>
            <w:noWrap/>
            <w:vAlign w:val="center"/>
            <w:hideMark/>
          </w:tcPr>
          <w:p w:rsidR="00C874C0" w:rsidRPr="002279E2" w:rsidRDefault="00C874C0" w:rsidP="00C874C0">
            <w:pPr>
              <w:jc w:val="center"/>
              <w:rPr>
                <w:rFonts w:eastAsia="Times New Roman" w:cs="Times New Roman"/>
                <w:color w:val="000000"/>
                <w:lang w:eastAsia="it-IT"/>
              </w:rPr>
            </w:pPr>
            <w:r w:rsidRPr="002279E2">
              <w:rPr>
                <w:rFonts w:eastAsia="Times New Roman" w:cs="Times New Roman"/>
                <w:color w:val="000000"/>
                <w:lang w:eastAsia="it-IT"/>
              </w:rPr>
              <w:t>-18,4</w:t>
            </w:r>
          </w:p>
        </w:tc>
        <w:tc>
          <w:tcPr>
            <w:tcW w:w="305" w:type="pct"/>
            <w:tcBorders>
              <w:top w:val="nil"/>
              <w:left w:val="nil"/>
              <w:bottom w:val="single" w:sz="4" w:space="0" w:color="auto"/>
              <w:right w:val="single" w:sz="4" w:space="0" w:color="auto"/>
            </w:tcBorders>
            <w:shd w:val="clear" w:color="auto" w:fill="auto"/>
            <w:noWrap/>
            <w:vAlign w:val="center"/>
            <w:hideMark/>
          </w:tcPr>
          <w:p w:rsidR="00C874C0" w:rsidRPr="002279E2" w:rsidRDefault="00C874C0" w:rsidP="00C874C0">
            <w:pPr>
              <w:jc w:val="center"/>
              <w:rPr>
                <w:rFonts w:eastAsia="Times New Roman" w:cs="Times New Roman"/>
                <w:color w:val="000000"/>
                <w:lang w:eastAsia="it-IT"/>
              </w:rPr>
            </w:pPr>
            <w:r w:rsidRPr="002279E2">
              <w:rPr>
                <w:rFonts w:eastAsia="Times New Roman" w:cs="Times New Roman"/>
                <w:color w:val="000000"/>
                <w:lang w:eastAsia="it-IT"/>
              </w:rPr>
              <w:t>55,1</w:t>
            </w:r>
          </w:p>
        </w:tc>
        <w:tc>
          <w:tcPr>
            <w:tcW w:w="300" w:type="pct"/>
            <w:tcBorders>
              <w:top w:val="nil"/>
              <w:left w:val="nil"/>
              <w:bottom w:val="single" w:sz="4" w:space="0" w:color="auto"/>
              <w:right w:val="single" w:sz="4" w:space="0" w:color="auto"/>
            </w:tcBorders>
            <w:shd w:val="clear" w:color="auto" w:fill="auto"/>
            <w:noWrap/>
            <w:vAlign w:val="center"/>
            <w:hideMark/>
          </w:tcPr>
          <w:p w:rsidR="00C874C0" w:rsidRPr="002279E2" w:rsidRDefault="00C874C0" w:rsidP="00C874C0">
            <w:pPr>
              <w:jc w:val="center"/>
              <w:rPr>
                <w:rFonts w:eastAsia="Times New Roman" w:cs="Times New Roman"/>
                <w:color w:val="000000"/>
                <w:lang w:eastAsia="it-IT"/>
              </w:rPr>
            </w:pPr>
            <w:r w:rsidRPr="002279E2">
              <w:rPr>
                <w:rFonts w:eastAsia="Times New Roman" w:cs="Times New Roman"/>
                <w:color w:val="000000"/>
                <w:lang w:eastAsia="it-IT"/>
              </w:rPr>
              <w:t>0</w:t>
            </w:r>
          </w:p>
        </w:tc>
      </w:tr>
    </w:tbl>
    <w:p w:rsidR="00C874C0" w:rsidRPr="002279E2" w:rsidRDefault="00C874C0" w:rsidP="00C874C0">
      <w:pPr>
        <w:spacing w:line="259" w:lineRule="auto"/>
        <w:rPr>
          <w:rFonts w:ascii="Segoe UI" w:hAnsi="Segoe UI" w:cs="Segoe UI"/>
          <w:u w:val="single"/>
        </w:rPr>
      </w:pPr>
      <w:r w:rsidRPr="002279E2">
        <w:rPr>
          <w:rFonts w:ascii="Segoe UI" w:eastAsia="Times New Roman" w:hAnsi="Segoe UI" w:cs="Segoe UI"/>
          <w:i/>
          <w:iCs/>
          <w:color w:val="000000"/>
          <w:lang w:eastAsia="it-IT"/>
        </w:rPr>
        <w:t>Milioni di euro</w:t>
      </w:r>
    </w:p>
    <w:p w:rsidR="00D03A2B" w:rsidRPr="002279E2" w:rsidRDefault="007E4FDC" w:rsidP="00F856A8">
      <w:pPr>
        <w:pStyle w:val="Titolo2"/>
      </w:pPr>
      <w:bookmarkStart w:id="6" w:name="_Toc6937330"/>
      <w:r w:rsidRPr="002279E2">
        <w:t>Articolo</w:t>
      </w:r>
      <w:bookmarkStart w:id="7" w:name="_Toc4423335"/>
      <w:bookmarkEnd w:id="5"/>
      <w:r w:rsidR="00B30DBD" w:rsidRPr="002279E2">
        <w:t xml:space="preserve"> 2</w:t>
      </w:r>
      <w:r w:rsidR="003E633F" w:rsidRPr="002279E2">
        <w:br/>
      </w:r>
      <w:r w:rsidRPr="002279E2">
        <w:t>(Revisione mini-IRES)</w:t>
      </w:r>
      <w:bookmarkEnd w:id="6"/>
      <w:bookmarkEnd w:id="7"/>
      <w:r w:rsidR="00D03A2B" w:rsidRPr="002279E2">
        <w:t xml:space="preserve"> </w:t>
      </w:r>
    </w:p>
    <w:p w:rsidR="00FE2956" w:rsidRPr="0024187C" w:rsidRDefault="00FE2956" w:rsidP="00FE2956">
      <w:pPr>
        <w:autoSpaceDE w:val="0"/>
        <w:autoSpaceDN w:val="0"/>
        <w:adjustRightInd w:val="0"/>
        <w:contextualSpacing/>
        <w:rPr>
          <w:rFonts w:cs="Times New Roman"/>
          <w:bCs/>
        </w:rPr>
      </w:pPr>
      <w:r w:rsidRPr="002279E2">
        <w:rPr>
          <w:rFonts w:cs="Times New Roman"/>
        </w:rPr>
        <w:t xml:space="preserve">1. A decorrere dal periodo d’imposta successivo a quello in corso al 31 dicembre 2021, il reddito d’impresa dichiarato dalle società e dagli enti di cui all’articolo 73, comma 1, del testo unico delle imposte sui redditi, di cui al decreto del Presidente della Repubblica 22 dicembre 1986, n. 917, fino a concorrenza dell’importo corrispondente agli utili di esercizio accantonati a riserve diverse da quelle di utili non disponibili, nei limiti </w:t>
      </w:r>
      <w:bookmarkStart w:id="8" w:name="_Hlk2624031"/>
      <w:r w:rsidRPr="002279E2">
        <w:rPr>
          <w:rFonts w:cs="Times New Roman"/>
        </w:rPr>
        <w:t>dell’incremento di patrimonio netto</w:t>
      </w:r>
      <w:bookmarkEnd w:id="8"/>
      <w:r w:rsidRPr="002279E2">
        <w:rPr>
          <w:rFonts w:cs="Times New Roman"/>
        </w:rPr>
        <w:t>, è assoggettato all’aliquota di cui all’articolo 77 del predetto testo unico ridotta d</w:t>
      </w:r>
      <w:r w:rsidRPr="0024187C">
        <w:rPr>
          <w:rFonts w:cs="Times New Roman"/>
        </w:rPr>
        <w:t xml:space="preserve">i 3,5 punti percentuali; per il periodo d’imposta successivo a quello in corso al 31 dicembre 2018 e per i due successivi la stessa aliquota è ridotta, rispettivamente, di 1,5 punti percentuali, di 2,5 punti percentuali, di 3 punti percentuali. </w:t>
      </w:r>
      <w:r w:rsidRPr="0024187C">
        <w:rPr>
          <w:rFonts w:cs="Times New Roman"/>
          <w:bCs/>
        </w:rPr>
        <w:t>Alla quota di reddito assoggettata all’aliquota ridotta di cui al periodo precedente, l’addizionale di cui all’articolo 1, comma 65, della legge 28 dicembre 2015, n. 208, si applica in misura corrispondentemente aumentata.</w:t>
      </w:r>
    </w:p>
    <w:p w:rsidR="00FE2956" w:rsidRPr="002279E2" w:rsidRDefault="00FE2956" w:rsidP="00FE2956">
      <w:pPr>
        <w:autoSpaceDE w:val="0"/>
        <w:autoSpaceDN w:val="0"/>
        <w:adjustRightInd w:val="0"/>
        <w:rPr>
          <w:rFonts w:cs="Times New Roman"/>
        </w:rPr>
      </w:pPr>
      <w:r w:rsidRPr="002279E2">
        <w:rPr>
          <w:rFonts w:cs="Times New Roman"/>
        </w:rPr>
        <w:t>2. Ai fini del comma 1:</w:t>
      </w:r>
    </w:p>
    <w:p w:rsidR="00FE2956" w:rsidRPr="002279E2" w:rsidRDefault="00FE2956" w:rsidP="00FE2956">
      <w:pPr>
        <w:autoSpaceDE w:val="0"/>
        <w:autoSpaceDN w:val="0"/>
        <w:adjustRightInd w:val="0"/>
        <w:rPr>
          <w:rFonts w:cs="Times New Roman"/>
        </w:rPr>
      </w:pPr>
      <w:r w:rsidRPr="002279E2">
        <w:rPr>
          <w:rFonts w:cs="Times New Roman"/>
        </w:rPr>
        <w:t>a)  si considerano riserve di utili non disponibili le riserve formate con utili diversi da quelli realmente conseguiti ai sensi dell’articolo 2433 del codice civile in quanto derivanti da processi di valutazione. Rilevano gli utili realizzati a decorrere dal periodo d’imposta in corso al 31 dicembre 2018 e accantonati a riserva, ad esclusione di quelli destinati a riserve non disponibili;</w:t>
      </w:r>
    </w:p>
    <w:p w:rsidR="00FE2956" w:rsidRPr="002279E2" w:rsidRDefault="00FE2956" w:rsidP="00FE2956">
      <w:pPr>
        <w:autoSpaceDE w:val="0"/>
        <w:autoSpaceDN w:val="0"/>
        <w:adjustRightInd w:val="0"/>
        <w:rPr>
          <w:rFonts w:cs="Times New Roman"/>
          <w:bCs/>
        </w:rPr>
      </w:pPr>
      <w:r w:rsidRPr="002279E2">
        <w:rPr>
          <w:rFonts w:cs="Times New Roman"/>
        </w:rPr>
        <w:t>b) l’incremento di patrimonio netto è dato dalla differenza tra il patrimonio netto risultante dal bilancio d’esercizio del periodo d’imposta di riferimento, senza considerare il risultato del medesimo esercizio, al netto degli utili accantonati a riserva, agevolati nei periodi di imposta precedenti, e il patrimonio netto risultante dal bilancio d’esercizio del periodo d’imposta in corso al 31 dicembre 2018, senza considerare il risultato del medesimo esercizio.</w:t>
      </w:r>
    </w:p>
    <w:p w:rsidR="00FE2956" w:rsidRPr="002279E2" w:rsidRDefault="00FE2956" w:rsidP="00FE2956">
      <w:pPr>
        <w:rPr>
          <w:rFonts w:cs="Times New Roman"/>
        </w:rPr>
      </w:pPr>
      <w:r w:rsidRPr="002279E2">
        <w:rPr>
          <w:rFonts w:cs="Times New Roman"/>
        </w:rPr>
        <w:t>3. Per ciascun periodo d’imposta, la parte degli utili accantonati a riserva agevolabili che eccede l’ammontare del reddito complessivo netto dichiarato è computata in aumento degli utili accantonati a riserva agevolabili dell’esercizio successivo.</w:t>
      </w:r>
    </w:p>
    <w:p w:rsidR="00FE2956" w:rsidRPr="002279E2" w:rsidRDefault="00FE2956" w:rsidP="00FE2956">
      <w:pPr>
        <w:rPr>
          <w:rFonts w:cs="Times New Roman"/>
        </w:rPr>
      </w:pPr>
      <w:r w:rsidRPr="002279E2">
        <w:rPr>
          <w:rFonts w:cs="Times New Roman"/>
        </w:rPr>
        <w:t>4. Per le società e per gli enti indicati nell’articolo 73, comma 1, lettere a), b) e d), del testo unico delle imposte sui redditi, che partecipano al consolidato nazionale di cui agli articoli da 117 a 129 del medesimo testo unico, l’importo su cui spetta l’aliquota ridotta, determinato ai sensi del comma 1 da ciascun soggetto partecipante al consolidato, è utilizzato dalla società o ente controllante, ai fini della liquidazione dell’imposta dovuta, fino a concorrenza del reddito eccedente le perdite computate in diminuzione. Le disposizioni del presente comma si applicano anche all’importo determinato dalle società e dagli enti indicati nell’articolo 73, comma 1, lettere a) e b), del testo unico che esercitano l’opzione per il consolidato mondiale di cui ai successivi articoli da 130 a 142 dello stesso testo unico.</w:t>
      </w:r>
    </w:p>
    <w:p w:rsidR="00FE2956" w:rsidRPr="002279E2" w:rsidRDefault="00FE2956" w:rsidP="00FE2956">
      <w:pPr>
        <w:rPr>
          <w:rFonts w:cs="Times New Roman"/>
        </w:rPr>
      </w:pPr>
      <w:r w:rsidRPr="002279E2">
        <w:rPr>
          <w:rFonts w:eastAsia="Times New Roman" w:cs="Times New Roman"/>
          <w:color w:val="000000"/>
          <w:lang w:eastAsia="it-IT"/>
        </w:rPr>
        <w:t>5</w:t>
      </w:r>
      <w:r w:rsidRPr="002279E2">
        <w:rPr>
          <w:rFonts w:cs="Times New Roman"/>
        </w:rPr>
        <w:t xml:space="preserve">. In caso di opzione per la trasparenza fiscale di cui all’articolo 115 del testo unico delle imposte sui redditi, l’importo su cui spetta l’aliquota ridotta determinato dalla società partecipata ai sensi del comma 1 è attribuito a ciascun socio in misura proporzionale alla sua quota di partecipazione agli utili. </w:t>
      </w:r>
      <w:r w:rsidRPr="002279E2">
        <w:rPr>
          <w:rFonts w:eastAsia="Times New Roman" w:cs="Times New Roman"/>
          <w:color w:val="000000"/>
          <w:lang w:eastAsia="it-IT"/>
        </w:rPr>
        <w:t xml:space="preserve">La quota attribuita non utilizzata dal socio è computata in aumento dell'importo su cui spetta l'aliquota ridotta dell'esercizio successivo, determinato ai sensi del presente comma. </w:t>
      </w:r>
    </w:p>
    <w:p w:rsidR="00FE2956" w:rsidRPr="002279E2" w:rsidRDefault="00FE2956" w:rsidP="00FE2956">
      <w:pPr>
        <w:rPr>
          <w:rFonts w:eastAsia="Times New Roman" w:cs="Times New Roman"/>
          <w:color w:val="000000"/>
          <w:lang w:eastAsia="it-IT"/>
        </w:rPr>
      </w:pPr>
      <w:r w:rsidRPr="002279E2">
        <w:rPr>
          <w:rFonts w:cs="Times New Roman"/>
          <w:color w:val="000000"/>
        </w:rPr>
        <w:lastRenderedPageBreak/>
        <w:t xml:space="preserve">6. </w:t>
      </w:r>
      <w:r w:rsidRPr="002279E2">
        <w:rPr>
          <w:rFonts w:eastAsia="Times New Roman" w:cs="Times New Roman"/>
          <w:color w:val="000000"/>
          <w:lang w:eastAsia="it-IT"/>
        </w:rPr>
        <w:t>Le disposizioni dei commi precedenti sono applicabili anche ai fini dell'imposta sul reddito delle persone fisiche, al reddito d'impresa dichiarato dagli imprenditori individuali e dalle società in nome collettivo e in accomandita semplice in regime di contabilità ordinaria.</w:t>
      </w:r>
    </w:p>
    <w:p w:rsidR="00FE2956" w:rsidRPr="002279E2" w:rsidRDefault="00FE2956" w:rsidP="00FE2956">
      <w:pPr>
        <w:rPr>
          <w:rFonts w:cs="Times New Roman"/>
          <w:color w:val="000000"/>
        </w:rPr>
      </w:pPr>
      <w:r w:rsidRPr="002279E2">
        <w:rPr>
          <w:rFonts w:cs="Times New Roman"/>
          <w:color w:val="000000"/>
        </w:rPr>
        <w:t>7. L’agevolazione di cui ai commi precedenti è cumulabile con altri benefìci eventualmente concessi, ad eccezione di quelli che prevedono regimi forfetari di determinazione del reddito e di quelli di cui all’articolo 6 del decreto del Presidente della Repubblica 29 settembre 1973, n. 601.</w:t>
      </w:r>
    </w:p>
    <w:p w:rsidR="00FE2956" w:rsidRPr="002279E2" w:rsidRDefault="00FE2956" w:rsidP="00FE2956">
      <w:pPr>
        <w:rPr>
          <w:rFonts w:cs="Times New Roman"/>
          <w:color w:val="000000"/>
        </w:rPr>
      </w:pPr>
      <w:r w:rsidRPr="002279E2">
        <w:rPr>
          <w:rFonts w:cs="Times New Roman"/>
          <w:color w:val="000000"/>
        </w:rPr>
        <w:t>8. Con decreto del Ministro dell’economia e delle finanze sono adottate le disposizioni di coordinamento e di attuazione del presente articolo.</w:t>
      </w:r>
    </w:p>
    <w:p w:rsidR="00FE2956" w:rsidRPr="002279E2" w:rsidRDefault="00FE2956" w:rsidP="00FE2956">
      <w:pPr>
        <w:rPr>
          <w:rFonts w:cs="Times New Roman"/>
          <w:bCs/>
        </w:rPr>
      </w:pPr>
      <w:r w:rsidRPr="002279E2">
        <w:rPr>
          <w:rFonts w:cs="Times New Roman"/>
          <w:color w:val="000000"/>
        </w:rPr>
        <w:t xml:space="preserve">9. All’articolo 1 della legge </w:t>
      </w:r>
      <w:r w:rsidRPr="002279E2">
        <w:rPr>
          <w:rFonts w:cs="Times New Roman"/>
        </w:rPr>
        <w:t xml:space="preserve">30 dicembre 2018, n. </w:t>
      </w:r>
      <w:r w:rsidRPr="002279E2">
        <w:rPr>
          <w:rFonts w:cs="Times New Roman"/>
          <w:bCs/>
        </w:rPr>
        <w:t>145, i commi da 28 a 34 s</w:t>
      </w:r>
      <w:r w:rsidRPr="002279E2">
        <w:rPr>
          <w:rFonts w:cs="Times New Roman"/>
          <w:color w:val="000000"/>
        </w:rPr>
        <w:t xml:space="preserve">ono abrogati. </w:t>
      </w:r>
    </w:p>
    <w:p w:rsidR="00FE2956" w:rsidRPr="002279E2" w:rsidRDefault="00FE2956" w:rsidP="00FE2956">
      <w:pPr>
        <w:rPr>
          <w:rFonts w:cs="Times New Roman"/>
          <w:color w:val="000000"/>
        </w:rPr>
      </w:pPr>
    </w:p>
    <w:p w:rsidR="00FE2956" w:rsidRPr="002279E2" w:rsidRDefault="00FE2956" w:rsidP="00FE2956">
      <w:pPr>
        <w:jc w:val="center"/>
        <w:rPr>
          <w:rFonts w:cs="Times New Roman"/>
          <w:b/>
          <w:bCs/>
          <w:iCs/>
        </w:rPr>
      </w:pPr>
      <w:r w:rsidRPr="002279E2">
        <w:rPr>
          <w:rFonts w:cs="Times New Roman"/>
          <w:b/>
        </w:rPr>
        <w:t>Relazione illustrativa</w:t>
      </w:r>
      <w:r w:rsidRPr="002279E2">
        <w:rPr>
          <w:rFonts w:cs="Times New Roman"/>
          <w:b/>
          <w:bCs/>
          <w:iCs/>
        </w:rPr>
        <w:t xml:space="preserve"> </w:t>
      </w:r>
    </w:p>
    <w:p w:rsidR="00FE2956" w:rsidRPr="002279E2" w:rsidRDefault="00FE2956" w:rsidP="00FE2956">
      <w:pPr>
        <w:autoSpaceDE w:val="0"/>
        <w:autoSpaceDN w:val="0"/>
        <w:adjustRightInd w:val="0"/>
        <w:rPr>
          <w:rFonts w:cs="Times New Roman"/>
          <w:color w:val="FF0000"/>
        </w:rPr>
      </w:pPr>
      <w:r w:rsidRPr="002279E2">
        <w:rPr>
          <w:rFonts w:cs="Times New Roman"/>
        </w:rPr>
        <w:t xml:space="preserve">La norma in esame sostituisce l’agevolazione prevista attualmente dai commi da 28 a 34 dell’articolo 1 della legge n. 145 del 2018 - legge di bilancio per il 2019 - (c.d. mini-IRES) con un nuovo incentivo volto a individuare una modalità di tassazione agevolata IRES relativamente semplice e pur sempre con la finalità di agevolare gli utili non distribuiti. </w:t>
      </w:r>
    </w:p>
    <w:p w:rsidR="00FE2956" w:rsidRPr="0024187C" w:rsidRDefault="00FE2956" w:rsidP="00FE2956">
      <w:pPr>
        <w:autoSpaceDE w:val="0"/>
        <w:autoSpaceDN w:val="0"/>
        <w:adjustRightInd w:val="0"/>
        <w:rPr>
          <w:rFonts w:cs="Times New Roman"/>
        </w:rPr>
      </w:pPr>
      <w:r w:rsidRPr="002279E2">
        <w:rPr>
          <w:rFonts w:cs="Times New Roman"/>
        </w:rPr>
        <w:t>La nuova aliquota ridotta IRES, applicabile sul reddito di impresa dic</w:t>
      </w:r>
      <w:r w:rsidRPr="0024187C">
        <w:rPr>
          <w:rFonts w:cs="Times New Roman"/>
        </w:rPr>
        <w:t xml:space="preserve">hiarato, è correlata quindi al solo reimpiego degli utili. Si prevede a regime l’applicazione di un’aliquota ridotta pari al 20,5 per cento sugli utili reinvestiti, a prescindere dalla destinazione specifica degli stessi all’interno dell’organizzazione. Nell’ultimo periodo del comma 1 è introdotta una disposizione in tema di addizionale all’IRES finalizzata a lasciare invariato il livello di imposizione per il settore bancario. </w:t>
      </w:r>
    </w:p>
    <w:p w:rsidR="00FE2956" w:rsidRPr="002279E2" w:rsidRDefault="00FE2956" w:rsidP="00FE2956">
      <w:pPr>
        <w:autoSpaceDE w:val="0"/>
        <w:autoSpaceDN w:val="0"/>
        <w:adjustRightInd w:val="0"/>
        <w:rPr>
          <w:rFonts w:cs="Times New Roman"/>
        </w:rPr>
      </w:pPr>
      <w:r w:rsidRPr="002279E2">
        <w:rPr>
          <w:rFonts w:cs="Times New Roman"/>
        </w:rPr>
        <w:t>Il beneficio spetta per un importo pari agli utili di esercizio accantonati a riserve, diverse da quelle di utili non disponibili, nei limiti dell’“</w:t>
      </w:r>
      <w:r w:rsidRPr="002279E2">
        <w:rPr>
          <w:rFonts w:cs="Times New Roman"/>
          <w:i/>
          <w:iCs/>
        </w:rPr>
        <w:t>incremento di patrimonio netto</w:t>
      </w:r>
      <w:r w:rsidRPr="002279E2">
        <w:rPr>
          <w:rFonts w:cs="Times New Roman"/>
        </w:rPr>
        <w:t>” registrato al termine dell’esercizio di riferimento rispetto al patrimonio netto esistente al termine dell’esercizio precedente a quello di avvio dell’incentivo (</w:t>
      </w:r>
      <w:r w:rsidRPr="002279E2">
        <w:rPr>
          <w:rFonts w:cs="Times New Roman"/>
          <w:i/>
          <w:iCs/>
        </w:rPr>
        <w:t>i.e.</w:t>
      </w:r>
      <w:r w:rsidRPr="002279E2">
        <w:rPr>
          <w:rFonts w:cs="Times New Roman"/>
        </w:rPr>
        <w:t>, il 2018 nella generalità dei casi). Ovviamente, l’eventuale eccedenza di utili rispetto al limite di patrimonio netto potrà divenire potenzialmente “agevolabile” negli esercizi successivi se e nella misura in cui si registrerà un sufficiente incremento di patrimonio netto.</w:t>
      </w:r>
    </w:p>
    <w:p w:rsidR="00FE2956" w:rsidRPr="002279E2" w:rsidRDefault="00FE2956" w:rsidP="00FE2956">
      <w:pPr>
        <w:autoSpaceDE w:val="0"/>
        <w:autoSpaceDN w:val="0"/>
        <w:adjustRightInd w:val="0"/>
        <w:rPr>
          <w:rFonts w:cs="Times New Roman"/>
        </w:rPr>
      </w:pPr>
      <w:r w:rsidRPr="002279E2">
        <w:rPr>
          <w:rFonts w:cs="Times New Roman"/>
        </w:rPr>
        <w:t>Ai sensi del comma 2, l’“</w:t>
      </w:r>
      <w:r w:rsidRPr="002279E2">
        <w:rPr>
          <w:rFonts w:cs="Times New Roman"/>
          <w:i/>
          <w:iCs/>
        </w:rPr>
        <w:t>incremento di patrimonio netto</w:t>
      </w:r>
      <w:r w:rsidRPr="002279E2">
        <w:rPr>
          <w:rFonts w:cs="Times New Roman"/>
        </w:rPr>
        <w:t>” è dato dalla differenza tra i seguenti elementi:</w:t>
      </w:r>
    </w:p>
    <w:p w:rsidR="00FE2956" w:rsidRPr="002279E2" w:rsidRDefault="00FE2956" w:rsidP="00FE2956">
      <w:pPr>
        <w:autoSpaceDE w:val="0"/>
        <w:autoSpaceDN w:val="0"/>
        <w:adjustRightInd w:val="0"/>
        <w:rPr>
          <w:rFonts w:cs="Times New Roman"/>
        </w:rPr>
      </w:pPr>
      <w:r w:rsidRPr="002279E2">
        <w:rPr>
          <w:rFonts w:cs="Times New Roman"/>
        </w:rPr>
        <w:t>- il patrimonio netto risultante dal bilancio d’esercizio del periodo d’imposta di riferimento, senza considerare il risultato netto (positivo o negativo che sia) del conto economico del medesimo esercizio, al netto degli utili accantonati a riserva agevolati nei periodi di imposta precedenti e</w:t>
      </w:r>
    </w:p>
    <w:p w:rsidR="00FE2956" w:rsidRPr="002279E2" w:rsidRDefault="00FE2956" w:rsidP="00FE2956">
      <w:pPr>
        <w:autoSpaceDE w:val="0"/>
        <w:autoSpaceDN w:val="0"/>
        <w:adjustRightInd w:val="0"/>
        <w:rPr>
          <w:rFonts w:cs="Times New Roman"/>
        </w:rPr>
      </w:pPr>
      <w:r w:rsidRPr="002279E2">
        <w:rPr>
          <w:rFonts w:cs="Times New Roman"/>
        </w:rPr>
        <w:t>- il patrimonio netto risultante dal bilancio d’esercizio del periodo d’imposta in corso al 31 dicembre 2018, senza considerare il risultato netto (positivo o negativo che sia) del conto economico del medesimo esercizio.</w:t>
      </w:r>
    </w:p>
    <w:p w:rsidR="00FE2956" w:rsidRPr="002279E2" w:rsidRDefault="00FE2956" w:rsidP="00FE2956">
      <w:pPr>
        <w:autoSpaceDE w:val="0"/>
        <w:autoSpaceDN w:val="0"/>
        <w:adjustRightInd w:val="0"/>
        <w:rPr>
          <w:rFonts w:cs="Times New Roman"/>
        </w:rPr>
      </w:pPr>
      <w:r w:rsidRPr="002279E2">
        <w:rPr>
          <w:rFonts w:cs="Times New Roman"/>
        </w:rPr>
        <w:t xml:space="preserve">Come si può notare, si tratta di un meccanismo di tipo forfetario (e semplificatorio) che lavora sostanzialmente “per masse” e che consente la computabilità degli utili accantonati soltanto nella misura in cui, rispetto al dato del 2018, si sia verificato un incremento patrimoniale, prescindendo completamente dalle cause che hanno determinato la movimentazione del patrimonio netto (che, dunque, possono essere legate tanto a fenomeni di relazioni coi soci – es. apporti o distribuzioni – quanto a fenomeni contabili, quali ad esempio, la correzione di errori materiali rilevati direttamente a patrimonio netto, la valutazione di derivati di copertura di </w:t>
      </w:r>
      <w:r w:rsidRPr="002279E2">
        <w:rPr>
          <w:rFonts w:cs="Times New Roman"/>
          <w:i/>
          <w:iCs/>
        </w:rPr>
        <w:t>cash flow</w:t>
      </w:r>
      <w:r w:rsidRPr="002279E2">
        <w:rPr>
          <w:rFonts w:cs="Times New Roman"/>
        </w:rPr>
        <w:t xml:space="preserve">, </w:t>
      </w:r>
      <w:r w:rsidRPr="002279E2">
        <w:rPr>
          <w:rFonts w:cs="Times New Roman"/>
          <w:i/>
          <w:iCs/>
        </w:rPr>
        <w:t>etc</w:t>
      </w:r>
      <w:r w:rsidRPr="002279E2">
        <w:rPr>
          <w:rFonts w:cs="Times New Roman"/>
        </w:rPr>
        <w:t>.).</w:t>
      </w:r>
    </w:p>
    <w:p w:rsidR="00FE2956" w:rsidRPr="002279E2" w:rsidRDefault="00FE2956" w:rsidP="00FE2956">
      <w:pPr>
        <w:autoSpaceDE w:val="0"/>
        <w:autoSpaceDN w:val="0"/>
        <w:adjustRightInd w:val="0"/>
        <w:rPr>
          <w:rFonts w:cs="Times New Roman"/>
        </w:rPr>
      </w:pPr>
      <w:r w:rsidRPr="002279E2">
        <w:rPr>
          <w:rFonts w:cs="Times New Roman"/>
        </w:rPr>
        <w:t>Ai fini della determinazione dell’importo da assoggettare ad aliquota ridotta, la combinazione tra utile e reddito potrebbe non essere pienamente efficiente: ciò si verifica quando, in particolare, il reddito è inferiore all’importo dell’utile rilevante. Per tale motivo, al fine di salvaguardare l’effettivo reimpiego degli utili accantonati a riserve il comma 3 stabilisce un meccanismo di riporto dell’eventuale eccedenza di utili. Si tenga presente, inoltre, che il soggetto potrebbe anche avere perdite pregresse atte a compensare il reddito e a ridurne, quindi, l’ammontare. Il riporto, pertanto, dell’eccedenza, a maggior ragione, dà la possibilità di conservare il beneficio nel tempo.</w:t>
      </w:r>
    </w:p>
    <w:p w:rsidR="00FE2956" w:rsidRPr="002279E2" w:rsidRDefault="00FE2956" w:rsidP="00FE2956">
      <w:pPr>
        <w:autoSpaceDE w:val="0"/>
        <w:autoSpaceDN w:val="0"/>
        <w:adjustRightInd w:val="0"/>
        <w:rPr>
          <w:rFonts w:cs="Times New Roman"/>
        </w:rPr>
      </w:pPr>
      <w:r w:rsidRPr="002279E2">
        <w:rPr>
          <w:rFonts w:cs="Times New Roman"/>
        </w:rPr>
        <w:t>Sono disposte, ai commi 4 e 5, norme di coordinamento per i soggetti che aderiscono al regime del consolidato nazionale o mondiale o della trasparenza fiscale.</w:t>
      </w:r>
    </w:p>
    <w:p w:rsidR="00FE2956" w:rsidRPr="002279E2" w:rsidRDefault="00FE2956" w:rsidP="00FE2956">
      <w:pPr>
        <w:autoSpaceDE w:val="0"/>
        <w:autoSpaceDN w:val="0"/>
        <w:adjustRightInd w:val="0"/>
        <w:rPr>
          <w:rFonts w:cs="Times New Roman"/>
        </w:rPr>
      </w:pPr>
      <w:r w:rsidRPr="002279E2">
        <w:rPr>
          <w:rFonts w:cs="Times New Roman"/>
        </w:rPr>
        <w:t>Il comma 6 amplia l’ambito soggettivo interessato dalle disposizioni della norma estendendo il regime anche agli imprenditori individuali, alle società in nome collettivo e in accomandita semplice, e, più in generale, ai soggetti IRPEF in regime d’impresa in contabilità ordinaria.</w:t>
      </w:r>
    </w:p>
    <w:p w:rsidR="00FE2956" w:rsidRPr="002279E2" w:rsidRDefault="00FE2956" w:rsidP="00FE2956">
      <w:pPr>
        <w:autoSpaceDE w:val="0"/>
        <w:autoSpaceDN w:val="0"/>
        <w:adjustRightInd w:val="0"/>
        <w:rPr>
          <w:rFonts w:cs="Times New Roman"/>
        </w:rPr>
      </w:pPr>
      <w:r w:rsidRPr="002279E2">
        <w:rPr>
          <w:rFonts w:cs="Times New Roman"/>
        </w:rPr>
        <w:t xml:space="preserve">Il comma 7 permette il cumulo delle agevolazioni previste dal presente articolo con altri benefici concessi, fatta eccezione di quelli che prevedono un regime di determinazione forfetaria del reddito (ad esempio, è il caso dei soggetti che beneficiano del regime della </w:t>
      </w:r>
      <w:r w:rsidRPr="002279E2">
        <w:rPr>
          <w:rFonts w:cs="Times New Roman"/>
          <w:i/>
          <w:iCs/>
        </w:rPr>
        <w:t>tonnage tax</w:t>
      </w:r>
      <w:r w:rsidRPr="002279E2">
        <w:rPr>
          <w:rFonts w:cs="Times New Roman"/>
        </w:rPr>
        <w:t xml:space="preserve">, dei cc.dd. forfetari, di coloro che determinano il reddito su base catastale) </w:t>
      </w:r>
      <w:r w:rsidRPr="002279E2">
        <w:rPr>
          <w:rFonts w:cs="Times New Roman"/>
          <w:color w:val="000000"/>
        </w:rPr>
        <w:t>e di quelli di cui all’articolo 6 del decreto del Presidente della Repubblica 29 settembre 1973, n. 601</w:t>
      </w:r>
      <w:r w:rsidRPr="002279E2">
        <w:rPr>
          <w:rFonts w:cs="Times New Roman"/>
        </w:rPr>
        <w:t>.</w:t>
      </w:r>
    </w:p>
    <w:p w:rsidR="00FE2956" w:rsidRPr="002279E2" w:rsidRDefault="00FE2956" w:rsidP="00FE2956">
      <w:pPr>
        <w:rPr>
          <w:rFonts w:cs="Times New Roman"/>
        </w:rPr>
      </w:pPr>
      <w:r w:rsidRPr="002279E2">
        <w:rPr>
          <w:rFonts w:cs="Times New Roman"/>
        </w:rPr>
        <w:lastRenderedPageBreak/>
        <w:t>Infine, si rinvia a un decreto del Ministro dell’economia e delle finanze l’adozione di disposizioni di coordinamento e di attuazione della disciplina.</w:t>
      </w:r>
    </w:p>
    <w:p w:rsidR="00FE2956" w:rsidRPr="002279E2" w:rsidRDefault="00FE2956" w:rsidP="00FE2956">
      <w:pPr>
        <w:autoSpaceDE w:val="0"/>
        <w:autoSpaceDN w:val="0"/>
        <w:adjustRightInd w:val="0"/>
        <w:rPr>
          <w:rFonts w:cs="Times New Roman"/>
        </w:rPr>
      </w:pPr>
    </w:p>
    <w:p w:rsidR="00FE2956" w:rsidRPr="002279E2" w:rsidRDefault="00FE2956" w:rsidP="00FE2956">
      <w:pPr>
        <w:jc w:val="center"/>
        <w:rPr>
          <w:rFonts w:cs="Times New Roman"/>
          <w:b/>
        </w:rPr>
      </w:pPr>
      <w:r w:rsidRPr="002279E2">
        <w:rPr>
          <w:rFonts w:cs="Times New Roman"/>
          <w:b/>
        </w:rPr>
        <w:t>Relazione tecnica</w:t>
      </w:r>
    </w:p>
    <w:p w:rsidR="00FE2956" w:rsidRPr="002279E2" w:rsidRDefault="00FE2956" w:rsidP="00FE2956">
      <w:pPr>
        <w:autoSpaceDE w:val="0"/>
        <w:autoSpaceDN w:val="0"/>
        <w:adjustRightInd w:val="0"/>
        <w:rPr>
          <w:rFonts w:cs="Times New Roman"/>
        </w:rPr>
      </w:pPr>
      <w:r w:rsidRPr="002279E2">
        <w:rPr>
          <w:rFonts w:cs="Times New Roman"/>
        </w:rPr>
        <w:t xml:space="preserve">La disposizione prevede, in sostituzione della agevolazione IRES al 15 per cento (di cui ai commi da 28 a 34 dell’articolo 1 della legge n. 145 del 2018), l’applicazione dell’aliquota IRES agevolata pari al 22,5% per l’anno di imposta 2019, al 21,5% per il 2020, al 21% per il 2021 e al 20,5% dal 2022 solo sugli utili di esercizio accantonati a riserve diverse da quelle di utili non disponibili, nei limiti dell’incremento di patrimonio netto a esclusione delle Banche. Nei diversi anni l’utile agevolato tiene conto delle variazioni negative del patrimonio netto. La disposizione è stata valutata anche per i contribuenti IRPEF interessati dalla modifica normativa. </w:t>
      </w:r>
    </w:p>
    <w:p w:rsidR="00FE2956" w:rsidRPr="002279E2" w:rsidRDefault="00FE2956" w:rsidP="00FE2956">
      <w:pPr>
        <w:autoSpaceDE w:val="0"/>
        <w:autoSpaceDN w:val="0"/>
        <w:adjustRightInd w:val="0"/>
        <w:rPr>
          <w:rFonts w:cs="Times New Roman"/>
        </w:rPr>
      </w:pPr>
      <w:r w:rsidRPr="002279E2">
        <w:rPr>
          <w:rFonts w:cs="Times New Roman"/>
        </w:rPr>
        <w:t>Ai fini della stima sono stati analizzati i dati relativi agli utili reinvestiti in azienda (utili di esercizio accantonati a riserve diverse da quelle di utili non disponibili); tali utili, nei limiti del reddito imponibile, sono stati assoggettati all’aliquota agevolata IRES; le eccedenze sono riportabili negli esercizi successivi. Sulla base delle elaborazioni dei dati dell’anno di imposta 2017, nel 2019 sono stati stimati utili reinvestiti per circa 83,4 miliardi di euro, di cui circa 64,5 miliardi di euro nei limiti del reddito imponibile e quindi agevolabili. La stima degli utili agevolabili per gli anni successivi è stata ottenuta simulando l’andamento del patrimonio netto e delle eccedenze sull’universo dei contribuenti interessati nel triennio di imposta 2015-2017. E’ stata rilevata una riduzione media del 28% e un utilizzo di eccedenze che incrementa l’agevolazione di circa il 10% l’anno in maniera cumulata. Tali variazioni sono state applicate sugli effetti di gettito degli anni successivi al 2019.</w:t>
      </w:r>
    </w:p>
    <w:p w:rsidR="00FE2956" w:rsidRPr="002279E2" w:rsidRDefault="00FE2956" w:rsidP="00FE2956">
      <w:pPr>
        <w:autoSpaceDE w:val="0"/>
        <w:autoSpaceDN w:val="0"/>
        <w:adjustRightInd w:val="0"/>
        <w:rPr>
          <w:rFonts w:cs="Times New Roman"/>
        </w:rPr>
      </w:pPr>
      <w:r w:rsidRPr="002279E2">
        <w:rPr>
          <w:rFonts w:cs="Times New Roman"/>
        </w:rPr>
        <w:t xml:space="preserve">Per quanto riguarda le imprese rientranti in un consolidato fiscale, l’imponibile agevolato è stato individuato applicando il rapporto tra il reddito agevolato e il reddito complessivo apportato al gruppo. Attraverso l’utilizzo del modello di micro simulazione IRES, basato sui primi dati provvisori per l’anno di imposta 2017, per ogni singolo contribuente sono stati simulati gli effetti dell’agevolazione proposta e, in base all’incidenza degli incrementi di capitale validi ai fini del rendimento ACE dei contribuenti IRPEF sul medesimo valore dei contribuenti IRES (9,1%), si è stimato anche l’effetto per i contribuenti IRPEF. </w:t>
      </w:r>
    </w:p>
    <w:p w:rsidR="00FE2956" w:rsidRPr="002279E2" w:rsidRDefault="00FE2956" w:rsidP="00FE2956">
      <w:pPr>
        <w:autoSpaceDE w:val="0"/>
        <w:autoSpaceDN w:val="0"/>
        <w:adjustRightInd w:val="0"/>
        <w:rPr>
          <w:rFonts w:cs="Times New Roman"/>
        </w:rPr>
      </w:pPr>
      <w:r w:rsidRPr="002279E2">
        <w:rPr>
          <w:rFonts w:cs="Times New Roman"/>
        </w:rPr>
        <w:t>Di competenza si stima una perdita di gettito complessiva come di seguito indicata:</w:t>
      </w:r>
    </w:p>
    <w:tbl>
      <w:tblPr>
        <w:tblW w:w="7180" w:type="dxa"/>
        <w:jc w:val="center"/>
        <w:tblCellMar>
          <w:left w:w="70" w:type="dxa"/>
          <w:right w:w="70" w:type="dxa"/>
        </w:tblCellMar>
        <w:tblLook w:val="04A0" w:firstRow="1" w:lastRow="0" w:firstColumn="1" w:lastColumn="0" w:noHBand="0" w:noVBand="1"/>
      </w:tblPr>
      <w:tblGrid>
        <w:gridCol w:w="1780"/>
        <w:gridCol w:w="960"/>
        <w:gridCol w:w="1120"/>
        <w:gridCol w:w="1120"/>
        <w:gridCol w:w="1120"/>
        <w:gridCol w:w="1080"/>
      </w:tblGrid>
      <w:tr w:rsidR="00FE2956" w:rsidRPr="002279E2" w:rsidTr="00FE2956">
        <w:trPr>
          <w:trHeight w:val="300"/>
          <w:jc w:val="center"/>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956" w:rsidRPr="002279E2" w:rsidRDefault="00FE2956" w:rsidP="00FE2956">
            <w:pPr>
              <w:jc w:val="left"/>
              <w:rPr>
                <w:rFonts w:cs="Times New Roman"/>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cs="Times New Roman"/>
                <w:b/>
              </w:rPr>
            </w:pPr>
            <w:r w:rsidRPr="002279E2">
              <w:rPr>
                <w:rFonts w:cs="Times New Roman"/>
                <w:b/>
              </w:rPr>
              <w:t>2019</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cs="Times New Roman"/>
                <w:b/>
              </w:rPr>
            </w:pPr>
            <w:r w:rsidRPr="002279E2">
              <w:rPr>
                <w:rFonts w:cs="Times New Roman"/>
                <w:b/>
              </w:rPr>
              <w:t>2020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cs="Times New Roman"/>
                <w:b/>
              </w:rPr>
            </w:pPr>
            <w:r w:rsidRPr="002279E2">
              <w:rPr>
                <w:rFonts w:cs="Times New Roman"/>
                <w:b/>
              </w:rPr>
              <w:t>2021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cs="Times New Roman"/>
                <w:b/>
              </w:rPr>
            </w:pPr>
            <w:r w:rsidRPr="002279E2">
              <w:rPr>
                <w:rFonts w:cs="Times New Roman"/>
                <w:b/>
              </w:rPr>
              <w:t>2022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cs="Times New Roman"/>
                <w:b/>
              </w:rPr>
            </w:pPr>
            <w:r w:rsidRPr="002279E2">
              <w:rPr>
                <w:rFonts w:cs="Times New Roman"/>
                <w:b/>
              </w:rPr>
              <w:t>2023</w:t>
            </w:r>
          </w:p>
        </w:tc>
      </w:tr>
      <w:tr w:rsidR="00FE2956" w:rsidRPr="002279E2" w:rsidTr="00FE2956">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FE2956" w:rsidRPr="002279E2" w:rsidRDefault="00FE2956" w:rsidP="00FE2956">
            <w:pPr>
              <w:jc w:val="left"/>
              <w:rPr>
                <w:rFonts w:cs="Times New Roman"/>
                <w:b/>
              </w:rPr>
            </w:pPr>
            <w:r w:rsidRPr="002279E2">
              <w:rPr>
                <w:rFonts w:cs="Times New Roman"/>
                <w:b/>
              </w:rPr>
              <w:t>IRES</w:t>
            </w:r>
          </w:p>
        </w:tc>
        <w:tc>
          <w:tcPr>
            <w:tcW w:w="96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cs="Times New Roman"/>
              </w:rPr>
            </w:pPr>
            <w:r w:rsidRPr="002279E2">
              <w:rPr>
                <w:rFonts w:cs="Times New Roman"/>
              </w:rPr>
              <w:t>-906,2</w:t>
            </w:r>
          </w:p>
        </w:tc>
        <w:tc>
          <w:tcPr>
            <w:tcW w:w="112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cs="Times New Roman"/>
              </w:rPr>
            </w:pPr>
            <w:r w:rsidRPr="002279E2">
              <w:rPr>
                <w:rFonts w:cs="Times New Roman"/>
              </w:rPr>
              <w:t>-1199,6</w:t>
            </w:r>
          </w:p>
        </w:tc>
        <w:tc>
          <w:tcPr>
            <w:tcW w:w="112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cs="Times New Roman"/>
              </w:rPr>
            </w:pPr>
            <w:r w:rsidRPr="002279E2">
              <w:rPr>
                <w:rFonts w:cs="Times New Roman"/>
              </w:rPr>
              <w:t>-1580,6</w:t>
            </w:r>
          </w:p>
        </w:tc>
        <w:tc>
          <w:tcPr>
            <w:tcW w:w="112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cs="Times New Roman"/>
              </w:rPr>
            </w:pPr>
            <w:r w:rsidRPr="002279E2">
              <w:rPr>
                <w:rFonts w:cs="Times New Roman"/>
              </w:rPr>
              <w:t>-1844,1</w:t>
            </w:r>
          </w:p>
        </w:tc>
        <w:tc>
          <w:tcPr>
            <w:tcW w:w="108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cs="Times New Roman"/>
              </w:rPr>
            </w:pPr>
            <w:r w:rsidRPr="002279E2">
              <w:rPr>
                <w:rFonts w:cs="Times New Roman"/>
              </w:rPr>
              <w:t>-1844,1</w:t>
            </w:r>
          </w:p>
        </w:tc>
      </w:tr>
      <w:tr w:rsidR="00FE2956" w:rsidRPr="002279E2" w:rsidTr="00FE2956">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FE2956" w:rsidRPr="002279E2" w:rsidRDefault="00FE2956" w:rsidP="00FE2956">
            <w:pPr>
              <w:jc w:val="left"/>
              <w:rPr>
                <w:rFonts w:cs="Times New Roman"/>
                <w:b/>
              </w:rPr>
            </w:pPr>
            <w:r w:rsidRPr="002279E2">
              <w:rPr>
                <w:rFonts w:cs="Times New Roman"/>
                <w:b/>
              </w:rPr>
              <w:t>IRPEF</w:t>
            </w:r>
          </w:p>
        </w:tc>
        <w:tc>
          <w:tcPr>
            <w:tcW w:w="96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cs="Times New Roman"/>
              </w:rPr>
            </w:pPr>
            <w:r w:rsidRPr="002279E2">
              <w:rPr>
                <w:rFonts w:cs="Times New Roman"/>
              </w:rPr>
              <w:t>-82,7</w:t>
            </w:r>
          </w:p>
        </w:tc>
        <w:tc>
          <w:tcPr>
            <w:tcW w:w="112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cs="Times New Roman"/>
              </w:rPr>
            </w:pPr>
            <w:r w:rsidRPr="002279E2">
              <w:rPr>
                <w:rFonts w:cs="Times New Roman"/>
              </w:rPr>
              <w:t>-109,5</w:t>
            </w:r>
          </w:p>
        </w:tc>
        <w:tc>
          <w:tcPr>
            <w:tcW w:w="112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cs="Times New Roman"/>
              </w:rPr>
            </w:pPr>
            <w:r w:rsidRPr="002279E2">
              <w:rPr>
                <w:rFonts w:cs="Times New Roman"/>
              </w:rPr>
              <w:t>-144,3</w:t>
            </w:r>
          </w:p>
        </w:tc>
        <w:tc>
          <w:tcPr>
            <w:tcW w:w="112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cs="Times New Roman"/>
              </w:rPr>
            </w:pPr>
            <w:r w:rsidRPr="002279E2">
              <w:rPr>
                <w:rFonts w:cs="Times New Roman"/>
              </w:rPr>
              <w:t>-168,3</w:t>
            </w:r>
          </w:p>
        </w:tc>
        <w:tc>
          <w:tcPr>
            <w:tcW w:w="108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cs="Times New Roman"/>
              </w:rPr>
            </w:pPr>
            <w:r w:rsidRPr="002279E2">
              <w:rPr>
                <w:rFonts w:cs="Times New Roman"/>
              </w:rPr>
              <w:t>-168,3</w:t>
            </w:r>
          </w:p>
        </w:tc>
      </w:tr>
      <w:tr w:rsidR="00FE2956" w:rsidRPr="002279E2" w:rsidTr="00FE2956">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FE2956" w:rsidRPr="002279E2" w:rsidRDefault="00FE2956" w:rsidP="00FE2956">
            <w:pPr>
              <w:jc w:val="left"/>
              <w:rPr>
                <w:rFonts w:cs="Times New Roman"/>
                <w:b/>
              </w:rPr>
            </w:pPr>
            <w:r w:rsidRPr="002279E2">
              <w:rPr>
                <w:rFonts w:cs="Times New Roman"/>
                <w:b/>
              </w:rPr>
              <w:t xml:space="preserve">Totale </w:t>
            </w:r>
          </w:p>
        </w:tc>
        <w:tc>
          <w:tcPr>
            <w:tcW w:w="96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cs="Times New Roman"/>
                <w:b/>
              </w:rPr>
            </w:pPr>
            <w:r w:rsidRPr="002279E2">
              <w:rPr>
                <w:rFonts w:cs="Times New Roman"/>
                <w:b/>
              </w:rPr>
              <w:t>-988,9</w:t>
            </w:r>
          </w:p>
        </w:tc>
        <w:tc>
          <w:tcPr>
            <w:tcW w:w="112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cs="Times New Roman"/>
                <w:b/>
              </w:rPr>
            </w:pPr>
            <w:r w:rsidRPr="002279E2">
              <w:rPr>
                <w:rFonts w:cs="Times New Roman"/>
                <w:b/>
              </w:rPr>
              <w:t>-1309,1</w:t>
            </w:r>
          </w:p>
        </w:tc>
        <w:tc>
          <w:tcPr>
            <w:tcW w:w="112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cs="Times New Roman"/>
                <w:b/>
              </w:rPr>
            </w:pPr>
            <w:r w:rsidRPr="002279E2">
              <w:rPr>
                <w:rFonts w:cs="Times New Roman"/>
                <w:b/>
              </w:rPr>
              <w:t>-1724,9</w:t>
            </w:r>
          </w:p>
        </w:tc>
        <w:tc>
          <w:tcPr>
            <w:tcW w:w="112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cs="Times New Roman"/>
                <w:b/>
              </w:rPr>
            </w:pPr>
            <w:r w:rsidRPr="002279E2">
              <w:rPr>
                <w:rFonts w:cs="Times New Roman"/>
                <w:b/>
              </w:rPr>
              <w:t>-2012,4</w:t>
            </w:r>
          </w:p>
        </w:tc>
        <w:tc>
          <w:tcPr>
            <w:tcW w:w="108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cs="Times New Roman"/>
                <w:b/>
              </w:rPr>
            </w:pPr>
            <w:r w:rsidRPr="002279E2">
              <w:rPr>
                <w:rFonts w:cs="Times New Roman"/>
                <w:b/>
              </w:rPr>
              <w:t>-2012,4</w:t>
            </w:r>
          </w:p>
        </w:tc>
      </w:tr>
      <w:tr w:rsidR="00FE2956" w:rsidRPr="002279E2" w:rsidTr="00FE2956">
        <w:trPr>
          <w:trHeight w:val="141"/>
          <w:jc w:val="center"/>
        </w:trPr>
        <w:tc>
          <w:tcPr>
            <w:tcW w:w="1780" w:type="dxa"/>
            <w:tcBorders>
              <w:top w:val="nil"/>
              <w:left w:val="nil"/>
              <w:bottom w:val="nil"/>
              <w:right w:val="nil"/>
            </w:tcBorders>
            <w:shd w:val="clear" w:color="auto" w:fill="auto"/>
            <w:noWrap/>
            <w:vAlign w:val="bottom"/>
            <w:hideMark/>
          </w:tcPr>
          <w:p w:rsidR="00FE2956" w:rsidRPr="002279E2" w:rsidRDefault="00FE2956" w:rsidP="00FE2956">
            <w:pPr>
              <w:jc w:val="left"/>
              <w:rPr>
                <w:rFonts w:eastAsia="Times New Roman" w:cs="Times New Roman"/>
                <w:i/>
                <w:iCs/>
                <w:color w:val="000000"/>
                <w:lang w:eastAsia="it-IT"/>
              </w:rPr>
            </w:pPr>
            <w:r w:rsidRPr="002279E2">
              <w:rPr>
                <w:rFonts w:eastAsia="Times New Roman" w:cs="Times New Roman"/>
                <w:i/>
                <w:iCs/>
                <w:color w:val="000000"/>
                <w:lang w:eastAsia="it-IT"/>
              </w:rPr>
              <w:t>Milioni di euro</w:t>
            </w:r>
          </w:p>
        </w:tc>
        <w:tc>
          <w:tcPr>
            <w:tcW w:w="960" w:type="dxa"/>
            <w:tcBorders>
              <w:top w:val="nil"/>
              <w:left w:val="nil"/>
              <w:bottom w:val="nil"/>
              <w:right w:val="nil"/>
            </w:tcBorders>
            <w:shd w:val="clear" w:color="auto" w:fill="auto"/>
            <w:noWrap/>
            <w:vAlign w:val="bottom"/>
            <w:hideMark/>
          </w:tcPr>
          <w:p w:rsidR="00FE2956" w:rsidRPr="002279E2" w:rsidRDefault="00FE2956" w:rsidP="00FE2956">
            <w:pPr>
              <w:jc w:val="left"/>
              <w:rPr>
                <w:rFonts w:eastAsia="Times New Roman" w:cs="Times New Roman"/>
                <w:i/>
                <w:iCs/>
                <w:color w:val="000000"/>
                <w:lang w:eastAsia="it-IT"/>
              </w:rPr>
            </w:pPr>
          </w:p>
        </w:tc>
        <w:tc>
          <w:tcPr>
            <w:tcW w:w="1120" w:type="dxa"/>
            <w:tcBorders>
              <w:top w:val="nil"/>
              <w:left w:val="nil"/>
              <w:bottom w:val="nil"/>
              <w:right w:val="nil"/>
            </w:tcBorders>
            <w:shd w:val="clear" w:color="auto" w:fill="auto"/>
            <w:noWrap/>
            <w:vAlign w:val="bottom"/>
            <w:hideMark/>
          </w:tcPr>
          <w:p w:rsidR="00FE2956" w:rsidRPr="002279E2" w:rsidRDefault="00FE2956" w:rsidP="00FE2956">
            <w:pPr>
              <w:jc w:val="left"/>
              <w:rPr>
                <w:rFonts w:eastAsia="Times New Roman" w:cs="Times New Roman"/>
                <w:i/>
                <w:iCs/>
                <w:color w:val="000000"/>
                <w:lang w:eastAsia="it-IT"/>
              </w:rPr>
            </w:pPr>
          </w:p>
        </w:tc>
        <w:tc>
          <w:tcPr>
            <w:tcW w:w="1120" w:type="dxa"/>
            <w:tcBorders>
              <w:top w:val="nil"/>
              <w:left w:val="nil"/>
              <w:bottom w:val="nil"/>
              <w:right w:val="nil"/>
            </w:tcBorders>
            <w:shd w:val="clear" w:color="auto" w:fill="auto"/>
            <w:noWrap/>
            <w:vAlign w:val="bottom"/>
            <w:hideMark/>
          </w:tcPr>
          <w:p w:rsidR="00FE2956" w:rsidRPr="002279E2" w:rsidRDefault="00FE2956" w:rsidP="00FE2956">
            <w:pPr>
              <w:jc w:val="left"/>
              <w:rPr>
                <w:rFonts w:eastAsia="Times New Roman" w:cs="Times New Roman"/>
                <w:i/>
                <w:iCs/>
                <w:color w:val="000000"/>
                <w:lang w:eastAsia="it-IT"/>
              </w:rPr>
            </w:pPr>
          </w:p>
        </w:tc>
        <w:tc>
          <w:tcPr>
            <w:tcW w:w="1120" w:type="dxa"/>
            <w:tcBorders>
              <w:top w:val="nil"/>
              <w:left w:val="nil"/>
              <w:bottom w:val="nil"/>
              <w:right w:val="nil"/>
            </w:tcBorders>
            <w:shd w:val="clear" w:color="auto" w:fill="auto"/>
            <w:noWrap/>
            <w:vAlign w:val="bottom"/>
            <w:hideMark/>
          </w:tcPr>
          <w:p w:rsidR="00FE2956" w:rsidRPr="002279E2" w:rsidRDefault="00FE2956" w:rsidP="00FE2956">
            <w:pPr>
              <w:jc w:val="left"/>
              <w:rPr>
                <w:rFonts w:eastAsia="Times New Roman" w:cs="Times New Roman"/>
                <w:i/>
                <w:iCs/>
                <w:color w:val="000000"/>
                <w:lang w:eastAsia="it-IT"/>
              </w:rPr>
            </w:pPr>
          </w:p>
        </w:tc>
        <w:tc>
          <w:tcPr>
            <w:tcW w:w="1080" w:type="dxa"/>
            <w:tcBorders>
              <w:top w:val="nil"/>
              <w:left w:val="nil"/>
              <w:bottom w:val="nil"/>
              <w:right w:val="nil"/>
            </w:tcBorders>
            <w:shd w:val="clear" w:color="auto" w:fill="auto"/>
            <w:noWrap/>
            <w:vAlign w:val="bottom"/>
            <w:hideMark/>
          </w:tcPr>
          <w:p w:rsidR="00FE2956" w:rsidRPr="002279E2" w:rsidRDefault="00FE2956" w:rsidP="00FE2956">
            <w:pPr>
              <w:jc w:val="left"/>
              <w:rPr>
                <w:rFonts w:eastAsia="Times New Roman" w:cs="Times New Roman"/>
                <w:i/>
                <w:iCs/>
                <w:color w:val="000000"/>
                <w:lang w:eastAsia="it-IT"/>
              </w:rPr>
            </w:pPr>
          </w:p>
        </w:tc>
      </w:tr>
    </w:tbl>
    <w:p w:rsidR="00FE2956" w:rsidRPr="002279E2" w:rsidRDefault="00FE2956" w:rsidP="00FE2956">
      <w:pPr>
        <w:rPr>
          <w:rFonts w:cs="Times New Roman"/>
          <w:bCs/>
          <w:color w:val="auto"/>
        </w:rPr>
      </w:pPr>
    </w:p>
    <w:p w:rsidR="00FE2956" w:rsidRPr="002279E2" w:rsidRDefault="00FE2956" w:rsidP="00FE2956">
      <w:pPr>
        <w:shd w:val="clear" w:color="auto" w:fill="FFFFFF"/>
        <w:rPr>
          <w:rFonts w:eastAsia="Times New Roman" w:cs="Times New Roman"/>
          <w:lang w:eastAsia="it-IT"/>
        </w:rPr>
      </w:pPr>
      <w:r w:rsidRPr="002279E2">
        <w:rPr>
          <w:rFonts w:eastAsia="Times New Roman" w:cs="Times New Roman"/>
          <w:lang w:eastAsia="it-IT"/>
        </w:rPr>
        <w:t>Si riportano di seguito gli effetti di cassa, con un acconto IRES e IRPEF del 75%:</w:t>
      </w:r>
    </w:p>
    <w:tbl>
      <w:tblPr>
        <w:tblW w:w="9548" w:type="dxa"/>
        <w:jc w:val="center"/>
        <w:tblCellMar>
          <w:left w:w="70" w:type="dxa"/>
          <w:right w:w="70" w:type="dxa"/>
        </w:tblCellMar>
        <w:tblLook w:val="04A0" w:firstRow="1" w:lastRow="0" w:firstColumn="1" w:lastColumn="0" w:noHBand="0" w:noVBand="1"/>
      </w:tblPr>
      <w:tblGrid>
        <w:gridCol w:w="1796"/>
        <w:gridCol w:w="976"/>
        <w:gridCol w:w="1136"/>
        <w:gridCol w:w="1136"/>
        <w:gridCol w:w="1136"/>
        <w:gridCol w:w="1096"/>
        <w:gridCol w:w="1136"/>
        <w:gridCol w:w="1136"/>
      </w:tblGrid>
      <w:tr w:rsidR="00FE2956" w:rsidRPr="002279E2" w:rsidTr="00FE2956">
        <w:trPr>
          <w:trHeight w:val="300"/>
          <w:jc w:val="center"/>
        </w:trPr>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956" w:rsidRPr="002279E2" w:rsidRDefault="00FE2956" w:rsidP="00FE2956">
            <w:pPr>
              <w:jc w:val="left"/>
              <w:rPr>
                <w:rFonts w:cs="Times New Roman"/>
                <w:b/>
              </w:rPr>
            </w:pP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2019</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2020</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2021</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2022</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2023</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2024</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2025</w:t>
            </w:r>
          </w:p>
        </w:tc>
      </w:tr>
      <w:tr w:rsidR="00FE2956" w:rsidRPr="002279E2" w:rsidTr="00FE2956">
        <w:trPr>
          <w:trHeight w:val="300"/>
          <w:jc w:val="center"/>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FE2956" w:rsidRPr="002279E2" w:rsidRDefault="00FE2956" w:rsidP="00FE2956">
            <w:pPr>
              <w:jc w:val="left"/>
              <w:rPr>
                <w:rFonts w:cs="Times New Roman"/>
                <w:b/>
              </w:rPr>
            </w:pPr>
            <w:r w:rsidRPr="002279E2">
              <w:rPr>
                <w:rFonts w:cs="Times New Roman"/>
                <w:b/>
              </w:rPr>
              <w:t>IRES</w:t>
            </w:r>
          </w:p>
        </w:tc>
        <w:tc>
          <w:tcPr>
            <w:tcW w:w="97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0</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-1585,9</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-1419,7</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-1866,4</w:t>
            </w:r>
          </w:p>
        </w:tc>
        <w:tc>
          <w:tcPr>
            <w:tcW w:w="109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-2041,7</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-1844,1</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-1844,1</w:t>
            </w:r>
          </w:p>
        </w:tc>
      </w:tr>
      <w:tr w:rsidR="00FE2956" w:rsidRPr="002279E2" w:rsidTr="00FE2956">
        <w:trPr>
          <w:trHeight w:val="300"/>
          <w:jc w:val="center"/>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FE2956" w:rsidRPr="002279E2" w:rsidRDefault="00FE2956" w:rsidP="00FE2956">
            <w:pPr>
              <w:jc w:val="left"/>
              <w:rPr>
                <w:rFonts w:cs="Times New Roman"/>
                <w:b/>
              </w:rPr>
            </w:pPr>
            <w:r w:rsidRPr="002279E2">
              <w:rPr>
                <w:rFonts w:cs="Times New Roman"/>
                <w:b/>
              </w:rPr>
              <w:t>IRPEF</w:t>
            </w:r>
          </w:p>
        </w:tc>
        <w:tc>
          <w:tcPr>
            <w:tcW w:w="97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0</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-144,8</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-129,6</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-170,4</w:t>
            </w:r>
          </w:p>
        </w:tc>
        <w:tc>
          <w:tcPr>
            <w:tcW w:w="109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-186,4</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-168,3</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-168,3</w:t>
            </w:r>
          </w:p>
        </w:tc>
      </w:tr>
      <w:tr w:rsidR="00FE2956" w:rsidRPr="002279E2" w:rsidTr="00FE2956">
        <w:trPr>
          <w:trHeight w:val="300"/>
          <w:jc w:val="center"/>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FE2956" w:rsidRPr="002279E2" w:rsidRDefault="00FE2956" w:rsidP="00FE2956">
            <w:pPr>
              <w:jc w:val="left"/>
              <w:rPr>
                <w:rFonts w:cs="Times New Roman"/>
                <w:b/>
              </w:rPr>
            </w:pPr>
            <w:r w:rsidRPr="002279E2">
              <w:rPr>
                <w:rFonts w:cs="Times New Roman"/>
                <w:b/>
              </w:rPr>
              <w:t xml:space="preserve">Totale </w:t>
            </w:r>
          </w:p>
        </w:tc>
        <w:tc>
          <w:tcPr>
            <w:tcW w:w="97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0</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-1730,6</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-1549,3</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-2036,8</w:t>
            </w:r>
          </w:p>
        </w:tc>
        <w:tc>
          <w:tcPr>
            <w:tcW w:w="109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-2228,0</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-2012,4</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-2012,4</w:t>
            </w:r>
          </w:p>
        </w:tc>
      </w:tr>
      <w:tr w:rsidR="00FE2956" w:rsidRPr="002279E2" w:rsidTr="00FE2956">
        <w:trPr>
          <w:trHeight w:val="300"/>
          <w:jc w:val="center"/>
        </w:trPr>
        <w:tc>
          <w:tcPr>
            <w:tcW w:w="1796" w:type="dxa"/>
            <w:tcBorders>
              <w:top w:val="nil"/>
              <w:left w:val="nil"/>
              <w:bottom w:val="nil"/>
              <w:right w:val="nil"/>
            </w:tcBorders>
            <w:shd w:val="clear" w:color="auto" w:fill="auto"/>
            <w:noWrap/>
            <w:vAlign w:val="bottom"/>
            <w:hideMark/>
          </w:tcPr>
          <w:p w:rsidR="00FE2956" w:rsidRPr="002279E2" w:rsidRDefault="00FE2956" w:rsidP="00FE2956">
            <w:pPr>
              <w:jc w:val="left"/>
              <w:rPr>
                <w:rFonts w:eastAsia="Times New Roman" w:cs="Times New Roman"/>
                <w:i/>
                <w:iCs/>
                <w:color w:val="000000"/>
                <w:lang w:eastAsia="it-IT"/>
              </w:rPr>
            </w:pPr>
            <w:r w:rsidRPr="002279E2">
              <w:rPr>
                <w:rFonts w:eastAsia="Times New Roman" w:cs="Times New Roman"/>
                <w:i/>
                <w:iCs/>
                <w:color w:val="000000"/>
                <w:lang w:eastAsia="it-IT"/>
              </w:rPr>
              <w:t>Milioni di euro</w:t>
            </w:r>
          </w:p>
        </w:tc>
        <w:tc>
          <w:tcPr>
            <w:tcW w:w="976" w:type="dxa"/>
            <w:tcBorders>
              <w:top w:val="nil"/>
              <w:left w:val="nil"/>
              <w:bottom w:val="nil"/>
              <w:right w:val="nil"/>
            </w:tcBorders>
            <w:shd w:val="clear" w:color="auto" w:fill="auto"/>
            <w:noWrap/>
            <w:vAlign w:val="bottom"/>
            <w:hideMark/>
          </w:tcPr>
          <w:p w:rsidR="00FE2956" w:rsidRPr="002279E2" w:rsidRDefault="00FE2956" w:rsidP="00FE2956">
            <w:pPr>
              <w:jc w:val="center"/>
              <w:rPr>
                <w:rFonts w:eastAsia="Times New Roman" w:cs="Times New Roman"/>
                <w:color w:val="auto"/>
                <w:lang w:eastAsia="it-IT"/>
              </w:rPr>
            </w:pPr>
          </w:p>
        </w:tc>
        <w:tc>
          <w:tcPr>
            <w:tcW w:w="1136" w:type="dxa"/>
            <w:tcBorders>
              <w:top w:val="nil"/>
              <w:left w:val="nil"/>
              <w:bottom w:val="nil"/>
              <w:right w:val="nil"/>
            </w:tcBorders>
            <w:shd w:val="clear" w:color="auto" w:fill="auto"/>
            <w:noWrap/>
            <w:vAlign w:val="bottom"/>
            <w:hideMark/>
          </w:tcPr>
          <w:p w:rsidR="00FE2956" w:rsidRPr="002279E2" w:rsidRDefault="00FE2956" w:rsidP="00FE2956">
            <w:pPr>
              <w:jc w:val="center"/>
              <w:rPr>
                <w:rFonts w:eastAsia="Times New Roman" w:cs="Times New Roman"/>
                <w:color w:val="auto"/>
                <w:lang w:eastAsia="it-IT"/>
              </w:rPr>
            </w:pPr>
          </w:p>
        </w:tc>
        <w:tc>
          <w:tcPr>
            <w:tcW w:w="1136" w:type="dxa"/>
            <w:tcBorders>
              <w:top w:val="nil"/>
              <w:left w:val="nil"/>
              <w:bottom w:val="nil"/>
              <w:right w:val="nil"/>
            </w:tcBorders>
            <w:shd w:val="clear" w:color="auto" w:fill="auto"/>
            <w:noWrap/>
            <w:vAlign w:val="bottom"/>
            <w:hideMark/>
          </w:tcPr>
          <w:p w:rsidR="00FE2956" w:rsidRPr="002279E2" w:rsidRDefault="00FE2956" w:rsidP="00FE2956">
            <w:pPr>
              <w:jc w:val="center"/>
              <w:rPr>
                <w:rFonts w:eastAsia="Times New Roman" w:cs="Times New Roman"/>
                <w:color w:val="auto"/>
                <w:lang w:eastAsia="it-IT"/>
              </w:rPr>
            </w:pPr>
          </w:p>
        </w:tc>
        <w:tc>
          <w:tcPr>
            <w:tcW w:w="1136" w:type="dxa"/>
            <w:tcBorders>
              <w:top w:val="nil"/>
              <w:left w:val="nil"/>
              <w:bottom w:val="nil"/>
              <w:right w:val="nil"/>
            </w:tcBorders>
            <w:shd w:val="clear" w:color="auto" w:fill="auto"/>
            <w:noWrap/>
            <w:vAlign w:val="bottom"/>
            <w:hideMark/>
          </w:tcPr>
          <w:p w:rsidR="00FE2956" w:rsidRPr="002279E2" w:rsidRDefault="00FE2956" w:rsidP="00FE2956">
            <w:pPr>
              <w:jc w:val="center"/>
              <w:rPr>
                <w:rFonts w:eastAsia="Times New Roman" w:cs="Times New Roman"/>
                <w:color w:val="auto"/>
                <w:lang w:eastAsia="it-IT"/>
              </w:rPr>
            </w:pPr>
          </w:p>
        </w:tc>
        <w:tc>
          <w:tcPr>
            <w:tcW w:w="1096" w:type="dxa"/>
            <w:tcBorders>
              <w:top w:val="nil"/>
              <w:left w:val="nil"/>
              <w:bottom w:val="nil"/>
              <w:right w:val="nil"/>
            </w:tcBorders>
            <w:shd w:val="clear" w:color="auto" w:fill="auto"/>
            <w:noWrap/>
            <w:vAlign w:val="bottom"/>
            <w:hideMark/>
          </w:tcPr>
          <w:p w:rsidR="00FE2956" w:rsidRPr="002279E2" w:rsidRDefault="00FE2956" w:rsidP="00FE2956">
            <w:pPr>
              <w:jc w:val="center"/>
              <w:rPr>
                <w:rFonts w:eastAsia="Times New Roman" w:cs="Times New Roman"/>
                <w:color w:val="auto"/>
                <w:lang w:eastAsia="it-IT"/>
              </w:rPr>
            </w:pPr>
          </w:p>
        </w:tc>
        <w:tc>
          <w:tcPr>
            <w:tcW w:w="1136" w:type="dxa"/>
            <w:tcBorders>
              <w:top w:val="nil"/>
              <w:left w:val="nil"/>
              <w:bottom w:val="nil"/>
              <w:right w:val="nil"/>
            </w:tcBorders>
            <w:shd w:val="clear" w:color="auto" w:fill="auto"/>
            <w:noWrap/>
            <w:vAlign w:val="bottom"/>
            <w:hideMark/>
          </w:tcPr>
          <w:p w:rsidR="00FE2956" w:rsidRPr="002279E2" w:rsidRDefault="00FE2956" w:rsidP="00FE2956">
            <w:pPr>
              <w:jc w:val="center"/>
              <w:rPr>
                <w:rFonts w:eastAsia="Times New Roman" w:cs="Times New Roman"/>
                <w:color w:val="auto"/>
                <w:lang w:eastAsia="it-IT"/>
              </w:rPr>
            </w:pPr>
          </w:p>
        </w:tc>
        <w:tc>
          <w:tcPr>
            <w:tcW w:w="1136" w:type="dxa"/>
            <w:tcBorders>
              <w:top w:val="nil"/>
              <w:left w:val="nil"/>
              <w:bottom w:val="nil"/>
              <w:right w:val="nil"/>
            </w:tcBorders>
            <w:shd w:val="clear" w:color="auto" w:fill="auto"/>
            <w:noWrap/>
            <w:vAlign w:val="bottom"/>
            <w:hideMark/>
          </w:tcPr>
          <w:p w:rsidR="00FE2956" w:rsidRPr="002279E2" w:rsidRDefault="00FE2956" w:rsidP="00FE2956">
            <w:pPr>
              <w:jc w:val="center"/>
              <w:rPr>
                <w:rFonts w:eastAsia="Times New Roman" w:cs="Times New Roman"/>
                <w:color w:val="auto"/>
                <w:lang w:eastAsia="it-IT"/>
              </w:rPr>
            </w:pPr>
          </w:p>
        </w:tc>
      </w:tr>
    </w:tbl>
    <w:p w:rsidR="00FE2956" w:rsidRPr="002279E2" w:rsidRDefault="00FE2956" w:rsidP="00FE2956">
      <w:pPr>
        <w:autoSpaceDE w:val="0"/>
        <w:autoSpaceDN w:val="0"/>
        <w:adjustRightInd w:val="0"/>
        <w:rPr>
          <w:rFonts w:cs="Times New Roman"/>
        </w:rPr>
      </w:pPr>
    </w:p>
    <w:p w:rsidR="00FE2956" w:rsidRPr="002279E2" w:rsidRDefault="00FE2956" w:rsidP="00FE2956">
      <w:pPr>
        <w:autoSpaceDE w:val="0"/>
        <w:autoSpaceDN w:val="0"/>
        <w:adjustRightInd w:val="0"/>
        <w:rPr>
          <w:rFonts w:cs="Times New Roman"/>
        </w:rPr>
      </w:pPr>
      <w:r w:rsidRPr="002279E2">
        <w:rPr>
          <w:rFonts w:cs="Times New Roman"/>
        </w:rPr>
        <w:t>La normativa proposta sostituendo l’agevolazione IRES (c.d. Mini IRES al 15%) prevista in sede di Legge di Bilancio 2019 produce sul Bilancio dello Stato gli effetti come di seguito descritto.</w:t>
      </w:r>
    </w:p>
    <w:p w:rsidR="00FE2956" w:rsidRPr="002279E2" w:rsidRDefault="00FE2956" w:rsidP="00FE2956">
      <w:pPr>
        <w:autoSpaceDE w:val="0"/>
        <w:autoSpaceDN w:val="0"/>
        <w:adjustRightInd w:val="0"/>
        <w:rPr>
          <w:rFonts w:cs="Times New Roman"/>
        </w:rPr>
      </w:pPr>
      <w:r w:rsidRPr="002279E2">
        <w:rPr>
          <w:rFonts w:cs="Times New Roman"/>
        </w:rPr>
        <w:t>Gli andamenti di cassa indicati nella Legge di Bilancio sono i seguenti:</w:t>
      </w:r>
    </w:p>
    <w:tbl>
      <w:tblPr>
        <w:tblW w:w="9128" w:type="dxa"/>
        <w:jc w:val="center"/>
        <w:tblCellMar>
          <w:left w:w="70" w:type="dxa"/>
          <w:right w:w="70" w:type="dxa"/>
        </w:tblCellMar>
        <w:tblLook w:val="04A0" w:firstRow="1" w:lastRow="0" w:firstColumn="1" w:lastColumn="0" w:noHBand="0" w:noVBand="1"/>
      </w:tblPr>
      <w:tblGrid>
        <w:gridCol w:w="1796"/>
        <w:gridCol w:w="976"/>
        <w:gridCol w:w="976"/>
        <w:gridCol w:w="996"/>
        <w:gridCol w:w="1096"/>
        <w:gridCol w:w="1096"/>
        <w:gridCol w:w="1096"/>
        <w:gridCol w:w="1096"/>
      </w:tblGrid>
      <w:tr w:rsidR="00FE2956" w:rsidRPr="002279E2" w:rsidTr="00FE2956">
        <w:trPr>
          <w:trHeight w:val="300"/>
          <w:jc w:val="center"/>
        </w:trPr>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956" w:rsidRPr="002279E2" w:rsidRDefault="00FE2956" w:rsidP="00FE2956">
            <w:pPr>
              <w:jc w:val="left"/>
              <w:rPr>
                <w:rFonts w:eastAsia="Times New Roman" w:cs="Times New Roman"/>
                <w:b/>
                <w:color w:val="000000"/>
                <w:lang w:eastAsia="it-IT"/>
              </w:rPr>
            </w:pPr>
            <w:r w:rsidRPr="002279E2">
              <w:rPr>
                <w:rFonts w:eastAsia="Times New Roman" w:cs="Times New Roman"/>
                <w:b/>
                <w:color w:val="000000"/>
                <w:lang w:eastAsia="it-IT"/>
              </w:rPr>
              <w:t>Cassa RT</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color w:val="000000"/>
                <w:lang w:eastAsia="it-IT"/>
              </w:rPr>
            </w:pPr>
            <w:r w:rsidRPr="002279E2">
              <w:rPr>
                <w:rFonts w:eastAsia="Times New Roman" w:cs="Times New Roman"/>
                <w:b/>
                <w:color w:val="000000"/>
                <w:lang w:eastAsia="it-IT"/>
              </w:rPr>
              <w:t>2019</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color w:val="000000"/>
                <w:lang w:eastAsia="it-IT"/>
              </w:rPr>
            </w:pPr>
            <w:r w:rsidRPr="002279E2">
              <w:rPr>
                <w:rFonts w:eastAsia="Times New Roman" w:cs="Times New Roman"/>
                <w:b/>
                <w:color w:val="000000"/>
                <w:lang w:eastAsia="it-IT"/>
              </w:rPr>
              <w:t>2020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color w:val="000000"/>
                <w:lang w:eastAsia="it-IT"/>
              </w:rPr>
            </w:pPr>
            <w:r w:rsidRPr="002279E2">
              <w:rPr>
                <w:rFonts w:eastAsia="Times New Roman" w:cs="Times New Roman"/>
                <w:b/>
                <w:color w:val="000000"/>
                <w:lang w:eastAsia="it-IT"/>
              </w:rPr>
              <w:t>2021</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color w:val="000000"/>
                <w:lang w:eastAsia="it-IT"/>
              </w:rPr>
            </w:pPr>
            <w:r w:rsidRPr="002279E2">
              <w:rPr>
                <w:rFonts w:eastAsia="Times New Roman" w:cs="Times New Roman"/>
                <w:b/>
                <w:color w:val="000000"/>
                <w:lang w:eastAsia="it-IT"/>
              </w:rPr>
              <w:t>2022</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color w:val="000000"/>
                <w:lang w:eastAsia="it-IT"/>
              </w:rPr>
            </w:pPr>
            <w:r w:rsidRPr="002279E2">
              <w:rPr>
                <w:rFonts w:eastAsia="Times New Roman" w:cs="Times New Roman"/>
                <w:b/>
                <w:color w:val="000000"/>
                <w:lang w:eastAsia="it-IT"/>
              </w:rPr>
              <w:t>2023</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color w:val="000000"/>
                <w:lang w:eastAsia="it-IT"/>
              </w:rPr>
            </w:pPr>
            <w:r w:rsidRPr="002279E2">
              <w:rPr>
                <w:rFonts w:eastAsia="Times New Roman" w:cs="Times New Roman"/>
                <w:b/>
                <w:color w:val="000000"/>
                <w:lang w:eastAsia="it-IT"/>
              </w:rPr>
              <w:t>2024</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color w:val="000000"/>
                <w:lang w:eastAsia="it-IT"/>
              </w:rPr>
            </w:pPr>
            <w:r w:rsidRPr="002279E2">
              <w:rPr>
                <w:rFonts w:eastAsia="Times New Roman" w:cs="Times New Roman"/>
                <w:b/>
                <w:color w:val="000000"/>
                <w:lang w:eastAsia="it-IT"/>
              </w:rPr>
              <w:t>2025</w:t>
            </w:r>
          </w:p>
        </w:tc>
      </w:tr>
      <w:tr w:rsidR="00FE2956" w:rsidRPr="002279E2" w:rsidTr="00FE2956">
        <w:trPr>
          <w:trHeight w:val="300"/>
          <w:jc w:val="center"/>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FE2956" w:rsidRPr="002279E2" w:rsidRDefault="00FE2956" w:rsidP="00FE2956">
            <w:pPr>
              <w:jc w:val="left"/>
              <w:rPr>
                <w:rFonts w:eastAsia="Times New Roman" w:cs="Times New Roman"/>
                <w:color w:val="000000"/>
                <w:lang w:eastAsia="it-IT"/>
              </w:rPr>
            </w:pPr>
            <w:r w:rsidRPr="002279E2">
              <w:rPr>
                <w:rFonts w:eastAsia="Times New Roman" w:cs="Times New Roman"/>
                <w:color w:val="000000"/>
                <w:lang w:eastAsia="it-IT"/>
              </w:rPr>
              <w:t>IRES</w:t>
            </w:r>
          </w:p>
        </w:tc>
        <w:tc>
          <w:tcPr>
            <w:tcW w:w="97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0</w:t>
            </w:r>
          </w:p>
        </w:tc>
        <w:tc>
          <w:tcPr>
            <w:tcW w:w="97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-1715,4</w:t>
            </w:r>
          </w:p>
        </w:tc>
        <w:tc>
          <w:tcPr>
            <w:tcW w:w="99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-1592,6</w:t>
            </w:r>
          </w:p>
        </w:tc>
        <w:tc>
          <w:tcPr>
            <w:tcW w:w="109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-1942,5</w:t>
            </w:r>
          </w:p>
        </w:tc>
        <w:tc>
          <w:tcPr>
            <w:tcW w:w="109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-2292,4</w:t>
            </w:r>
          </w:p>
        </w:tc>
        <w:tc>
          <w:tcPr>
            <w:tcW w:w="109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-2030,0</w:t>
            </w:r>
          </w:p>
        </w:tc>
        <w:tc>
          <w:tcPr>
            <w:tcW w:w="109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-2030,0</w:t>
            </w:r>
          </w:p>
        </w:tc>
      </w:tr>
      <w:tr w:rsidR="00FE2956" w:rsidRPr="002279E2" w:rsidTr="00FE2956">
        <w:trPr>
          <w:trHeight w:val="300"/>
          <w:jc w:val="center"/>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FE2956" w:rsidRPr="002279E2" w:rsidRDefault="00FE2956" w:rsidP="00FE2956">
            <w:pPr>
              <w:jc w:val="left"/>
              <w:rPr>
                <w:rFonts w:eastAsia="Times New Roman" w:cs="Times New Roman"/>
                <w:color w:val="000000"/>
                <w:lang w:eastAsia="it-IT"/>
              </w:rPr>
            </w:pPr>
            <w:r w:rsidRPr="002279E2">
              <w:rPr>
                <w:rFonts w:eastAsia="Times New Roman" w:cs="Times New Roman"/>
                <w:color w:val="000000"/>
                <w:lang w:eastAsia="it-IT"/>
              </w:rPr>
              <w:t>IRPEF</w:t>
            </w:r>
          </w:p>
        </w:tc>
        <w:tc>
          <w:tcPr>
            <w:tcW w:w="97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0</w:t>
            </w:r>
          </w:p>
        </w:tc>
        <w:tc>
          <w:tcPr>
            <w:tcW w:w="97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-232,3</w:t>
            </w:r>
          </w:p>
        </w:tc>
        <w:tc>
          <w:tcPr>
            <w:tcW w:w="99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-215,6</w:t>
            </w:r>
          </w:p>
        </w:tc>
        <w:tc>
          <w:tcPr>
            <w:tcW w:w="109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-263,0</w:t>
            </w:r>
          </w:p>
        </w:tc>
        <w:tc>
          <w:tcPr>
            <w:tcW w:w="109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-310,4</w:t>
            </w:r>
          </w:p>
        </w:tc>
        <w:tc>
          <w:tcPr>
            <w:tcW w:w="109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-274,9</w:t>
            </w:r>
          </w:p>
        </w:tc>
        <w:tc>
          <w:tcPr>
            <w:tcW w:w="109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-274,9</w:t>
            </w:r>
          </w:p>
        </w:tc>
      </w:tr>
      <w:tr w:rsidR="00FE2956" w:rsidRPr="002279E2" w:rsidTr="00FE2956">
        <w:trPr>
          <w:trHeight w:val="300"/>
          <w:jc w:val="center"/>
        </w:trPr>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FE2956" w:rsidRPr="002279E2" w:rsidRDefault="00FE2956" w:rsidP="00FE2956">
            <w:pPr>
              <w:jc w:val="left"/>
              <w:rPr>
                <w:rFonts w:eastAsia="Times New Roman" w:cs="Times New Roman"/>
                <w:b/>
                <w:color w:val="000000"/>
                <w:lang w:eastAsia="it-IT"/>
              </w:rPr>
            </w:pPr>
            <w:r w:rsidRPr="002279E2">
              <w:rPr>
                <w:rFonts w:eastAsia="Times New Roman" w:cs="Times New Roman"/>
                <w:b/>
                <w:color w:val="000000"/>
                <w:lang w:eastAsia="it-IT"/>
              </w:rPr>
              <w:t xml:space="preserve">Totale </w:t>
            </w:r>
          </w:p>
        </w:tc>
        <w:tc>
          <w:tcPr>
            <w:tcW w:w="97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color w:val="000000"/>
                <w:lang w:eastAsia="it-IT"/>
              </w:rPr>
            </w:pPr>
            <w:r w:rsidRPr="002279E2">
              <w:rPr>
                <w:rFonts w:eastAsia="Times New Roman" w:cs="Times New Roman"/>
                <w:b/>
                <w:color w:val="000000"/>
                <w:lang w:eastAsia="it-IT"/>
              </w:rPr>
              <w:t>0</w:t>
            </w:r>
          </w:p>
        </w:tc>
        <w:tc>
          <w:tcPr>
            <w:tcW w:w="97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color w:val="000000"/>
                <w:lang w:eastAsia="it-IT"/>
              </w:rPr>
            </w:pPr>
            <w:r w:rsidRPr="002279E2">
              <w:rPr>
                <w:rFonts w:eastAsia="Times New Roman" w:cs="Times New Roman"/>
                <w:b/>
                <w:color w:val="000000"/>
                <w:lang w:eastAsia="it-IT"/>
              </w:rPr>
              <w:t>-1947,7</w:t>
            </w:r>
          </w:p>
        </w:tc>
        <w:tc>
          <w:tcPr>
            <w:tcW w:w="99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color w:val="000000"/>
                <w:lang w:eastAsia="it-IT"/>
              </w:rPr>
            </w:pPr>
            <w:r w:rsidRPr="002279E2">
              <w:rPr>
                <w:rFonts w:eastAsia="Times New Roman" w:cs="Times New Roman"/>
                <w:b/>
                <w:color w:val="000000"/>
                <w:lang w:eastAsia="it-IT"/>
              </w:rPr>
              <w:t>-1808,2</w:t>
            </w:r>
          </w:p>
        </w:tc>
        <w:tc>
          <w:tcPr>
            <w:tcW w:w="109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color w:val="000000"/>
                <w:lang w:eastAsia="it-IT"/>
              </w:rPr>
            </w:pPr>
            <w:r w:rsidRPr="002279E2">
              <w:rPr>
                <w:rFonts w:eastAsia="Times New Roman" w:cs="Times New Roman"/>
                <w:b/>
                <w:color w:val="000000"/>
                <w:lang w:eastAsia="it-IT"/>
              </w:rPr>
              <w:t>-2205,5</w:t>
            </w:r>
          </w:p>
        </w:tc>
        <w:tc>
          <w:tcPr>
            <w:tcW w:w="109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color w:val="000000"/>
                <w:lang w:eastAsia="it-IT"/>
              </w:rPr>
            </w:pPr>
            <w:r w:rsidRPr="002279E2">
              <w:rPr>
                <w:rFonts w:eastAsia="Times New Roman" w:cs="Times New Roman"/>
                <w:b/>
                <w:color w:val="000000"/>
                <w:lang w:eastAsia="it-IT"/>
              </w:rPr>
              <w:t>-2602,8</w:t>
            </w:r>
          </w:p>
        </w:tc>
        <w:tc>
          <w:tcPr>
            <w:tcW w:w="109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color w:val="000000"/>
                <w:lang w:eastAsia="it-IT"/>
              </w:rPr>
            </w:pPr>
            <w:r w:rsidRPr="002279E2">
              <w:rPr>
                <w:rFonts w:eastAsia="Times New Roman" w:cs="Times New Roman"/>
                <w:b/>
                <w:color w:val="000000"/>
                <w:lang w:eastAsia="it-IT"/>
              </w:rPr>
              <w:t>-2304,9</w:t>
            </w:r>
          </w:p>
        </w:tc>
        <w:tc>
          <w:tcPr>
            <w:tcW w:w="109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color w:val="000000"/>
                <w:lang w:eastAsia="it-IT"/>
              </w:rPr>
            </w:pPr>
            <w:r w:rsidRPr="002279E2">
              <w:rPr>
                <w:rFonts w:eastAsia="Times New Roman" w:cs="Times New Roman"/>
                <w:b/>
                <w:color w:val="000000"/>
                <w:lang w:eastAsia="it-IT"/>
              </w:rPr>
              <w:t>-2304,9</w:t>
            </w:r>
          </w:p>
        </w:tc>
      </w:tr>
      <w:tr w:rsidR="00FE2956" w:rsidRPr="002279E2" w:rsidTr="00FE2956">
        <w:trPr>
          <w:trHeight w:val="300"/>
          <w:jc w:val="center"/>
        </w:trPr>
        <w:tc>
          <w:tcPr>
            <w:tcW w:w="1796" w:type="dxa"/>
            <w:tcBorders>
              <w:top w:val="nil"/>
              <w:left w:val="nil"/>
              <w:bottom w:val="nil"/>
              <w:right w:val="nil"/>
            </w:tcBorders>
            <w:shd w:val="clear" w:color="auto" w:fill="auto"/>
            <w:noWrap/>
            <w:vAlign w:val="bottom"/>
            <w:hideMark/>
          </w:tcPr>
          <w:p w:rsidR="00FE2956" w:rsidRPr="002279E2" w:rsidRDefault="00FE2956" w:rsidP="00FE2956">
            <w:pPr>
              <w:jc w:val="left"/>
              <w:rPr>
                <w:rFonts w:eastAsia="Times New Roman" w:cs="Times New Roman"/>
                <w:i/>
                <w:iCs/>
                <w:color w:val="000000"/>
                <w:lang w:eastAsia="it-IT"/>
              </w:rPr>
            </w:pPr>
            <w:r w:rsidRPr="002279E2">
              <w:rPr>
                <w:rFonts w:eastAsia="Times New Roman" w:cs="Times New Roman"/>
                <w:i/>
                <w:iCs/>
                <w:color w:val="000000"/>
                <w:lang w:eastAsia="it-IT"/>
              </w:rPr>
              <w:t>Milioni di euro</w:t>
            </w:r>
          </w:p>
        </w:tc>
        <w:tc>
          <w:tcPr>
            <w:tcW w:w="976" w:type="dxa"/>
            <w:tcBorders>
              <w:top w:val="nil"/>
              <w:left w:val="nil"/>
              <w:bottom w:val="nil"/>
              <w:right w:val="nil"/>
            </w:tcBorders>
            <w:shd w:val="clear" w:color="auto" w:fill="auto"/>
            <w:noWrap/>
            <w:vAlign w:val="bottom"/>
            <w:hideMark/>
          </w:tcPr>
          <w:p w:rsidR="00FE2956" w:rsidRPr="002279E2" w:rsidRDefault="00FE2956" w:rsidP="00FE2956">
            <w:pPr>
              <w:jc w:val="center"/>
              <w:rPr>
                <w:rFonts w:eastAsia="Times New Roman" w:cs="Times New Roman"/>
                <w:color w:val="auto"/>
                <w:lang w:eastAsia="it-IT"/>
              </w:rPr>
            </w:pPr>
          </w:p>
        </w:tc>
        <w:tc>
          <w:tcPr>
            <w:tcW w:w="976" w:type="dxa"/>
            <w:tcBorders>
              <w:top w:val="nil"/>
              <w:left w:val="nil"/>
              <w:bottom w:val="nil"/>
              <w:right w:val="nil"/>
            </w:tcBorders>
            <w:shd w:val="clear" w:color="auto" w:fill="auto"/>
            <w:noWrap/>
            <w:vAlign w:val="bottom"/>
            <w:hideMark/>
          </w:tcPr>
          <w:p w:rsidR="00FE2956" w:rsidRPr="002279E2" w:rsidRDefault="00FE2956" w:rsidP="00FE2956">
            <w:pPr>
              <w:jc w:val="center"/>
              <w:rPr>
                <w:rFonts w:eastAsia="Times New Roman" w:cs="Times New Roman"/>
                <w:color w:val="auto"/>
                <w:lang w:eastAsia="it-IT"/>
              </w:rPr>
            </w:pPr>
          </w:p>
        </w:tc>
        <w:tc>
          <w:tcPr>
            <w:tcW w:w="996" w:type="dxa"/>
            <w:tcBorders>
              <w:top w:val="nil"/>
              <w:left w:val="nil"/>
              <w:bottom w:val="nil"/>
              <w:right w:val="nil"/>
            </w:tcBorders>
            <w:shd w:val="clear" w:color="auto" w:fill="auto"/>
            <w:noWrap/>
            <w:vAlign w:val="bottom"/>
            <w:hideMark/>
          </w:tcPr>
          <w:p w:rsidR="00FE2956" w:rsidRPr="002279E2" w:rsidRDefault="00FE2956" w:rsidP="00FE2956">
            <w:pPr>
              <w:jc w:val="center"/>
              <w:rPr>
                <w:rFonts w:eastAsia="Times New Roman" w:cs="Times New Roman"/>
                <w:color w:val="auto"/>
                <w:lang w:eastAsia="it-IT"/>
              </w:rPr>
            </w:pPr>
          </w:p>
        </w:tc>
        <w:tc>
          <w:tcPr>
            <w:tcW w:w="1096" w:type="dxa"/>
            <w:tcBorders>
              <w:top w:val="nil"/>
              <w:left w:val="nil"/>
              <w:bottom w:val="nil"/>
              <w:right w:val="nil"/>
            </w:tcBorders>
            <w:shd w:val="clear" w:color="auto" w:fill="auto"/>
            <w:noWrap/>
            <w:vAlign w:val="bottom"/>
            <w:hideMark/>
          </w:tcPr>
          <w:p w:rsidR="00FE2956" w:rsidRPr="002279E2" w:rsidRDefault="00FE2956" w:rsidP="00FE2956">
            <w:pPr>
              <w:jc w:val="center"/>
              <w:rPr>
                <w:rFonts w:eastAsia="Times New Roman" w:cs="Times New Roman"/>
                <w:color w:val="auto"/>
                <w:lang w:eastAsia="it-IT"/>
              </w:rPr>
            </w:pPr>
          </w:p>
        </w:tc>
        <w:tc>
          <w:tcPr>
            <w:tcW w:w="1096" w:type="dxa"/>
            <w:tcBorders>
              <w:top w:val="nil"/>
              <w:left w:val="nil"/>
              <w:bottom w:val="nil"/>
              <w:right w:val="nil"/>
            </w:tcBorders>
            <w:shd w:val="clear" w:color="auto" w:fill="auto"/>
            <w:noWrap/>
            <w:vAlign w:val="bottom"/>
            <w:hideMark/>
          </w:tcPr>
          <w:p w:rsidR="00FE2956" w:rsidRPr="002279E2" w:rsidRDefault="00FE2956" w:rsidP="00FE2956">
            <w:pPr>
              <w:jc w:val="center"/>
              <w:rPr>
                <w:rFonts w:eastAsia="Times New Roman" w:cs="Times New Roman"/>
                <w:color w:val="auto"/>
                <w:lang w:eastAsia="it-IT"/>
              </w:rPr>
            </w:pPr>
          </w:p>
        </w:tc>
        <w:tc>
          <w:tcPr>
            <w:tcW w:w="1096" w:type="dxa"/>
            <w:tcBorders>
              <w:top w:val="nil"/>
              <w:left w:val="nil"/>
              <w:bottom w:val="nil"/>
              <w:right w:val="nil"/>
            </w:tcBorders>
            <w:shd w:val="clear" w:color="auto" w:fill="auto"/>
            <w:noWrap/>
            <w:vAlign w:val="bottom"/>
            <w:hideMark/>
          </w:tcPr>
          <w:p w:rsidR="00FE2956" w:rsidRPr="002279E2" w:rsidRDefault="00FE2956" w:rsidP="00FE2956">
            <w:pPr>
              <w:jc w:val="center"/>
              <w:rPr>
                <w:rFonts w:eastAsia="Times New Roman" w:cs="Times New Roman"/>
                <w:color w:val="auto"/>
                <w:lang w:eastAsia="it-IT"/>
              </w:rPr>
            </w:pPr>
          </w:p>
        </w:tc>
        <w:tc>
          <w:tcPr>
            <w:tcW w:w="1096" w:type="dxa"/>
            <w:tcBorders>
              <w:top w:val="nil"/>
              <w:left w:val="nil"/>
              <w:bottom w:val="nil"/>
              <w:right w:val="nil"/>
            </w:tcBorders>
            <w:shd w:val="clear" w:color="auto" w:fill="auto"/>
            <w:noWrap/>
            <w:vAlign w:val="bottom"/>
            <w:hideMark/>
          </w:tcPr>
          <w:p w:rsidR="00FE2956" w:rsidRPr="002279E2" w:rsidRDefault="00FE2956" w:rsidP="00FE2956">
            <w:pPr>
              <w:jc w:val="center"/>
              <w:rPr>
                <w:rFonts w:eastAsia="Times New Roman" w:cs="Times New Roman"/>
                <w:color w:val="auto"/>
                <w:lang w:eastAsia="it-IT"/>
              </w:rPr>
            </w:pPr>
          </w:p>
        </w:tc>
      </w:tr>
    </w:tbl>
    <w:p w:rsidR="00FE2956" w:rsidRPr="002279E2" w:rsidRDefault="00FE2956" w:rsidP="00FE2956">
      <w:pPr>
        <w:rPr>
          <w:rFonts w:cs="Times New Roman"/>
          <w:bCs/>
          <w:color w:val="auto"/>
        </w:rPr>
      </w:pPr>
    </w:p>
    <w:p w:rsidR="00FE2956" w:rsidRPr="002279E2" w:rsidRDefault="00FE2956" w:rsidP="00FE2956">
      <w:pPr>
        <w:shd w:val="clear" w:color="auto" w:fill="FFFFFF"/>
        <w:rPr>
          <w:rFonts w:eastAsia="Times New Roman" w:cs="Times New Roman"/>
          <w:lang w:eastAsia="it-IT"/>
        </w:rPr>
      </w:pPr>
      <w:r w:rsidRPr="002279E2">
        <w:rPr>
          <w:rFonts w:eastAsia="Times New Roman" w:cs="Times New Roman"/>
          <w:lang w:eastAsia="it-IT"/>
        </w:rPr>
        <w:t>Gli effetti differenziali rispetto a quanto già indicato nella relazione tecnica originaria, pertanto, sono i seguenti:</w:t>
      </w:r>
    </w:p>
    <w:tbl>
      <w:tblPr>
        <w:tblW w:w="9835" w:type="dxa"/>
        <w:jc w:val="center"/>
        <w:tblCellMar>
          <w:left w:w="70" w:type="dxa"/>
          <w:right w:w="70" w:type="dxa"/>
        </w:tblCellMar>
        <w:tblLook w:val="04A0" w:firstRow="1" w:lastRow="0" w:firstColumn="1" w:lastColumn="0" w:noHBand="0" w:noVBand="1"/>
      </w:tblPr>
      <w:tblGrid>
        <w:gridCol w:w="2083"/>
        <w:gridCol w:w="976"/>
        <w:gridCol w:w="1136"/>
        <w:gridCol w:w="1136"/>
        <w:gridCol w:w="1136"/>
        <w:gridCol w:w="1096"/>
        <w:gridCol w:w="1136"/>
        <w:gridCol w:w="1136"/>
      </w:tblGrid>
      <w:tr w:rsidR="00FE2956" w:rsidRPr="002279E2" w:rsidTr="00FE2956">
        <w:trPr>
          <w:trHeight w:val="300"/>
          <w:jc w:val="center"/>
        </w:trPr>
        <w:tc>
          <w:tcPr>
            <w:tcW w:w="2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2956" w:rsidRPr="002279E2" w:rsidRDefault="00FE2956" w:rsidP="00FE2956">
            <w:pPr>
              <w:jc w:val="left"/>
              <w:rPr>
                <w:rFonts w:cs="Times New Roman"/>
                <w:b/>
              </w:rPr>
            </w:pPr>
            <w:r w:rsidRPr="002279E2">
              <w:rPr>
                <w:rFonts w:cs="Times New Roman"/>
                <w:b/>
              </w:rPr>
              <w:t>Cassa differenziale</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2019</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2020</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2021</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2022</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2023</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2024</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2025</w:t>
            </w:r>
          </w:p>
        </w:tc>
      </w:tr>
      <w:tr w:rsidR="00FE2956" w:rsidRPr="002279E2" w:rsidTr="00FE2956">
        <w:trPr>
          <w:trHeight w:val="300"/>
          <w:jc w:val="center"/>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FE2956" w:rsidRPr="002279E2" w:rsidRDefault="00FE2956" w:rsidP="00FE2956">
            <w:pPr>
              <w:jc w:val="left"/>
              <w:rPr>
                <w:rFonts w:cs="Times New Roman"/>
                <w:b/>
              </w:rPr>
            </w:pPr>
            <w:r w:rsidRPr="002279E2">
              <w:rPr>
                <w:rFonts w:cs="Times New Roman"/>
                <w:b/>
              </w:rPr>
              <w:lastRenderedPageBreak/>
              <w:t>IRES</w:t>
            </w:r>
          </w:p>
        </w:tc>
        <w:tc>
          <w:tcPr>
            <w:tcW w:w="97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0</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129,6</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172,9</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76,1</w:t>
            </w:r>
          </w:p>
        </w:tc>
        <w:tc>
          <w:tcPr>
            <w:tcW w:w="109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250,8</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185,9</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185,9</w:t>
            </w:r>
          </w:p>
        </w:tc>
      </w:tr>
      <w:tr w:rsidR="00FE2956" w:rsidRPr="002279E2" w:rsidTr="00FE2956">
        <w:trPr>
          <w:trHeight w:val="300"/>
          <w:jc w:val="center"/>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FE2956" w:rsidRPr="002279E2" w:rsidRDefault="00FE2956" w:rsidP="00FE2956">
            <w:pPr>
              <w:jc w:val="left"/>
              <w:rPr>
                <w:rFonts w:cs="Times New Roman"/>
                <w:b/>
              </w:rPr>
            </w:pPr>
            <w:r w:rsidRPr="002279E2">
              <w:rPr>
                <w:rFonts w:cs="Times New Roman"/>
                <w:b/>
              </w:rPr>
              <w:t>IRPEF</w:t>
            </w:r>
          </w:p>
        </w:tc>
        <w:tc>
          <w:tcPr>
            <w:tcW w:w="97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0</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87,5</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86,1</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92,7</w:t>
            </w:r>
          </w:p>
        </w:tc>
        <w:tc>
          <w:tcPr>
            <w:tcW w:w="109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124,0</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106,5</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color w:val="000000"/>
                <w:lang w:eastAsia="it-IT"/>
              </w:rPr>
            </w:pPr>
            <w:r w:rsidRPr="002279E2">
              <w:rPr>
                <w:rFonts w:eastAsia="Times New Roman" w:cs="Times New Roman"/>
                <w:color w:val="000000"/>
                <w:lang w:eastAsia="it-IT"/>
              </w:rPr>
              <w:t>106,5</w:t>
            </w:r>
          </w:p>
        </w:tc>
      </w:tr>
      <w:tr w:rsidR="00FE2956" w:rsidRPr="002279E2" w:rsidTr="00FE2956">
        <w:trPr>
          <w:trHeight w:val="300"/>
          <w:jc w:val="center"/>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FE2956" w:rsidRPr="002279E2" w:rsidRDefault="00FE2956" w:rsidP="00FE2956">
            <w:pPr>
              <w:jc w:val="left"/>
              <w:rPr>
                <w:rFonts w:cs="Times New Roman"/>
                <w:b/>
              </w:rPr>
            </w:pPr>
            <w:r w:rsidRPr="002279E2">
              <w:rPr>
                <w:rFonts w:cs="Times New Roman"/>
                <w:b/>
              </w:rPr>
              <w:t xml:space="preserve">Totale </w:t>
            </w:r>
          </w:p>
        </w:tc>
        <w:tc>
          <w:tcPr>
            <w:tcW w:w="97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0</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217,1</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259,0</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168,8</w:t>
            </w:r>
          </w:p>
        </w:tc>
        <w:tc>
          <w:tcPr>
            <w:tcW w:w="109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374,8</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292,4</w:t>
            </w:r>
          </w:p>
        </w:tc>
        <w:tc>
          <w:tcPr>
            <w:tcW w:w="1136" w:type="dxa"/>
            <w:tcBorders>
              <w:top w:val="nil"/>
              <w:left w:val="nil"/>
              <w:bottom w:val="single" w:sz="4" w:space="0" w:color="auto"/>
              <w:right w:val="single" w:sz="4" w:space="0" w:color="auto"/>
            </w:tcBorders>
            <w:shd w:val="clear" w:color="auto" w:fill="auto"/>
            <w:noWrap/>
            <w:vAlign w:val="bottom"/>
            <w:hideMark/>
          </w:tcPr>
          <w:p w:rsidR="00FE2956" w:rsidRPr="002279E2" w:rsidRDefault="00FE2956" w:rsidP="00FE2956">
            <w:pPr>
              <w:jc w:val="center"/>
              <w:rPr>
                <w:rFonts w:eastAsia="Times New Roman" w:cs="Times New Roman"/>
                <w:b/>
                <w:bCs/>
                <w:color w:val="000000"/>
                <w:lang w:eastAsia="it-IT"/>
              </w:rPr>
            </w:pPr>
            <w:r w:rsidRPr="002279E2">
              <w:rPr>
                <w:rFonts w:eastAsia="Times New Roman" w:cs="Times New Roman"/>
                <w:b/>
                <w:bCs/>
                <w:color w:val="000000"/>
                <w:lang w:eastAsia="it-IT"/>
              </w:rPr>
              <w:t>292,4</w:t>
            </w:r>
          </w:p>
        </w:tc>
      </w:tr>
      <w:tr w:rsidR="00FE2956" w:rsidRPr="002279E2" w:rsidTr="00FE2956">
        <w:trPr>
          <w:trHeight w:val="300"/>
          <w:jc w:val="center"/>
        </w:trPr>
        <w:tc>
          <w:tcPr>
            <w:tcW w:w="2083" w:type="dxa"/>
            <w:tcBorders>
              <w:top w:val="nil"/>
              <w:left w:val="nil"/>
              <w:bottom w:val="nil"/>
              <w:right w:val="nil"/>
            </w:tcBorders>
            <w:shd w:val="clear" w:color="auto" w:fill="auto"/>
            <w:noWrap/>
            <w:vAlign w:val="bottom"/>
            <w:hideMark/>
          </w:tcPr>
          <w:p w:rsidR="00FE2956" w:rsidRPr="002279E2" w:rsidRDefault="00FE2956" w:rsidP="00FE2956">
            <w:pPr>
              <w:jc w:val="left"/>
              <w:rPr>
                <w:rFonts w:eastAsia="Times New Roman" w:cs="Times New Roman"/>
                <w:i/>
                <w:iCs/>
                <w:color w:val="000000"/>
                <w:lang w:eastAsia="it-IT"/>
              </w:rPr>
            </w:pPr>
            <w:r w:rsidRPr="002279E2">
              <w:rPr>
                <w:rFonts w:eastAsia="Times New Roman" w:cs="Times New Roman"/>
                <w:i/>
                <w:iCs/>
                <w:color w:val="000000"/>
                <w:lang w:eastAsia="it-IT"/>
              </w:rPr>
              <w:t>Milioni di euro</w:t>
            </w:r>
          </w:p>
        </w:tc>
        <w:tc>
          <w:tcPr>
            <w:tcW w:w="976" w:type="dxa"/>
            <w:tcBorders>
              <w:top w:val="nil"/>
              <w:left w:val="nil"/>
              <w:bottom w:val="nil"/>
              <w:right w:val="nil"/>
            </w:tcBorders>
            <w:shd w:val="clear" w:color="auto" w:fill="auto"/>
            <w:noWrap/>
            <w:vAlign w:val="bottom"/>
            <w:hideMark/>
          </w:tcPr>
          <w:p w:rsidR="00FE2956" w:rsidRPr="002279E2" w:rsidRDefault="00FE2956" w:rsidP="00FE2956">
            <w:pPr>
              <w:jc w:val="left"/>
              <w:rPr>
                <w:rFonts w:eastAsia="Times New Roman" w:cs="Times New Roman"/>
                <w:color w:val="auto"/>
                <w:lang w:eastAsia="it-IT"/>
              </w:rPr>
            </w:pPr>
          </w:p>
        </w:tc>
        <w:tc>
          <w:tcPr>
            <w:tcW w:w="1136" w:type="dxa"/>
            <w:tcBorders>
              <w:top w:val="nil"/>
              <w:left w:val="nil"/>
              <w:bottom w:val="nil"/>
              <w:right w:val="nil"/>
            </w:tcBorders>
            <w:shd w:val="clear" w:color="auto" w:fill="auto"/>
            <w:noWrap/>
            <w:vAlign w:val="bottom"/>
            <w:hideMark/>
          </w:tcPr>
          <w:p w:rsidR="00FE2956" w:rsidRPr="002279E2" w:rsidRDefault="00FE2956" w:rsidP="00FE2956">
            <w:pPr>
              <w:jc w:val="left"/>
              <w:rPr>
                <w:rFonts w:eastAsia="Times New Roman" w:cs="Times New Roman"/>
                <w:color w:val="auto"/>
                <w:lang w:eastAsia="it-IT"/>
              </w:rPr>
            </w:pPr>
          </w:p>
        </w:tc>
        <w:tc>
          <w:tcPr>
            <w:tcW w:w="1136" w:type="dxa"/>
            <w:tcBorders>
              <w:top w:val="nil"/>
              <w:left w:val="nil"/>
              <w:bottom w:val="nil"/>
              <w:right w:val="nil"/>
            </w:tcBorders>
            <w:shd w:val="clear" w:color="auto" w:fill="auto"/>
            <w:noWrap/>
            <w:vAlign w:val="bottom"/>
            <w:hideMark/>
          </w:tcPr>
          <w:p w:rsidR="00FE2956" w:rsidRPr="002279E2" w:rsidRDefault="00FE2956" w:rsidP="00FE2956">
            <w:pPr>
              <w:jc w:val="left"/>
              <w:rPr>
                <w:rFonts w:eastAsia="Times New Roman" w:cs="Times New Roman"/>
                <w:color w:val="auto"/>
                <w:lang w:eastAsia="it-IT"/>
              </w:rPr>
            </w:pPr>
          </w:p>
        </w:tc>
        <w:tc>
          <w:tcPr>
            <w:tcW w:w="1136" w:type="dxa"/>
            <w:tcBorders>
              <w:top w:val="nil"/>
              <w:left w:val="nil"/>
              <w:bottom w:val="nil"/>
              <w:right w:val="nil"/>
            </w:tcBorders>
            <w:shd w:val="clear" w:color="auto" w:fill="auto"/>
            <w:noWrap/>
            <w:vAlign w:val="bottom"/>
            <w:hideMark/>
          </w:tcPr>
          <w:p w:rsidR="00FE2956" w:rsidRPr="002279E2" w:rsidRDefault="00FE2956" w:rsidP="00FE2956">
            <w:pPr>
              <w:jc w:val="left"/>
              <w:rPr>
                <w:rFonts w:eastAsia="Times New Roman" w:cs="Times New Roman"/>
                <w:color w:val="auto"/>
                <w:lang w:eastAsia="it-IT"/>
              </w:rPr>
            </w:pPr>
          </w:p>
        </w:tc>
        <w:tc>
          <w:tcPr>
            <w:tcW w:w="1096" w:type="dxa"/>
            <w:tcBorders>
              <w:top w:val="nil"/>
              <w:left w:val="nil"/>
              <w:bottom w:val="nil"/>
              <w:right w:val="nil"/>
            </w:tcBorders>
            <w:shd w:val="clear" w:color="auto" w:fill="auto"/>
            <w:noWrap/>
            <w:vAlign w:val="bottom"/>
            <w:hideMark/>
          </w:tcPr>
          <w:p w:rsidR="00FE2956" w:rsidRPr="002279E2" w:rsidRDefault="00FE2956" w:rsidP="00FE2956">
            <w:pPr>
              <w:jc w:val="left"/>
              <w:rPr>
                <w:rFonts w:eastAsia="Times New Roman" w:cs="Times New Roman"/>
                <w:color w:val="auto"/>
                <w:lang w:eastAsia="it-IT"/>
              </w:rPr>
            </w:pPr>
          </w:p>
        </w:tc>
        <w:tc>
          <w:tcPr>
            <w:tcW w:w="1136" w:type="dxa"/>
            <w:tcBorders>
              <w:top w:val="nil"/>
              <w:left w:val="nil"/>
              <w:bottom w:val="nil"/>
              <w:right w:val="nil"/>
            </w:tcBorders>
            <w:shd w:val="clear" w:color="auto" w:fill="auto"/>
            <w:noWrap/>
            <w:vAlign w:val="bottom"/>
            <w:hideMark/>
          </w:tcPr>
          <w:p w:rsidR="00FE2956" w:rsidRPr="002279E2" w:rsidRDefault="00FE2956" w:rsidP="00FE2956">
            <w:pPr>
              <w:jc w:val="left"/>
              <w:rPr>
                <w:rFonts w:eastAsia="Times New Roman" w:cs="Times New Roman"/>
                <w:color w:val="auto"/>
                <w:lang w:eastAsia="it-IT"/>
              </w:rPr>
            </w:pPr>
          </w:p>
        </w:tc>
        <w:tc>
          <w:tcPr>
            <w:tcW w:w="1136" w:type="dxa"/>
            <w:tcBorders>
              <w:top w:val="nil"/>
              <w:left w:val="nil"/>
              <w:bottom w:val="nil"/>
              <w:right w:val="nil"/>
            </w:tcBorders>
            <w:shd w:val="clear" w:color="auto" w:fill="auto"/>
            <w:noWrap/>
            <w:vAlign w:val="bottom"/>
            <w:hideMark/>
          </w:tcPr>
          <w:p w:rsidR="00FE2956" w:rsidRPr="002279E2" w:rsidRDefault="00FE2956" w:rsidP="00FE2956">
            <w:pPr>
              <w:jc w:val="left"/>
              <w:rPr>
                <w:rFonts w:eastAsia="Times New Roman" w:cs="Times New Roman"/>
                <w:color w:val="auto"/>
                <w:lang w:eastAsia="it-IT"/>
              </w:rPr>
            </w:pPr>
          </w:p>
        </w:tc>
      </w:tr>
    </w:tbl>
    <w:p w:rsidR="006A0D8C" w:rsidRPr="002279E2" w:rsidRDefault="006A0D8C" w:rsidP="00612935">
      <w:pPr>
        <w:autoSpaceDE w:val="0"/>
        <w:autoSpaceDN w:val="0"/>
        <w:adjustRightInd w:val="0"/>
        <w:rPr>
          <w:rFonts w:cs="Times New Roman"/>
        </w:rPr>
      </w:pPr>
    </w:p>
    <w:p w:rsidR="00C368E9" w:rsidRPr="002279E2" w:rsidRDefault="00E6049B" w:rsidP="00DA6BDB">
      <w:pPr>
        <w:pStyle w:val="Titolo2"/>
      </w:pPr>
      <w:bookmarkStart w:id="9" w:name="_Toc4423336"/>
      <w:bookmarkStart w:id="10" w:name="_Toc6937331"/>
      <w:r w:rsidRPr="002279E2">
        <w:t>Articolo</w:t>
      </w:r>
      <w:r w:rsidR="007E4FDC" w:rsidRPr="002279E2">
        <w:t xml:space="preserve"> </w:t>
      </w:r>
      <w:bookmarkStart w:id="11" w:name="_Toc4423337"/>
      <w:bookmarkEnd w:id="9"/>
      <w:r w:rsidR="00B30DBD" w:rsidRPr="002279E2">
        <w:t>3</w:t>
      </w:r>
      <w:r w:rsidR="003E633F" w:rsidRPr="002279E2">
        <w:br/>
      </w:r>
      <w:r w:rsidR="007E4FDC" w:rsidRPr="002279E2">
        <w:t>(</w:t>
      </w:r>
      <w:r w:rsidR="00805525" w:rsidRPr="002279E2">
        <w:t>Maggiorazione deducibilità IMU dalle imposte sui redditi</w:t>
      </w:r>
      <w:r w:rsidR="007E4FDC" w:rsidRPr="002279E2">
        <w:t>)</w:t>
      </w:r>
      <w:bookmarkEnd w:id="10"/>
      <w:bookmarkEnd w:id="11"/>
      <w:r w:rsidR="00585505" w:rsidRPr="002279E2">
        <w:t xml:space="preserve"> </w:t>
      </w:r>
    </w:p>
    <w:p w:rsidR="00FE2956" w:rsidRPr="0024187C" w:rsidRDefault="00FE2956" w:rsidP="00FE2956">
      <w:pPr>
        <w:rPr>
          <w:rFonts w:cs="Times New Roman"/>
        </w:rPr>
      </w:pPr>
      <w:bookmarkStart w:id="12" w:name="_Toc4423338"/>
      <w:r w:rsidRPr="002279E2">
        <w:rPr>
          <w:rFonts w:cs="Times New Roman"/>
        </w:rPr>
        <w:t>1. All’articolo 14, comma 1, del decreto legislativo 4 marzo 2011, n. 23, le parole “</w:t>
      </w:r>
      <w:r w:rsidRPr="002279E2">
        <w:rPr>
          <w:rFonts w:cs="Times New Roman"/>
          <w:i/>
        </w:rPr>
        <w:t>nella misura del 40 per cento</w:t>
      </w:r>
      <w:r w:rsidRPr="002279E2">
        <w:rPr>
          <w:rFonts w:cs="Times New Roman"/>
        </w:rPr>
        <w:t>” sono sostituite dalle seguenti: “</w:t>
      </w:r>
      <w:r w:rsidRPr="0024187C">
        <w:rPr>
          <w:rFonts w:cs="Times New Roman"/>
          <w:i/>
        </w:rPr>
        <w:t xml:space="preserve">a decorrere dal periodo d’imposta successivo a quello in corso al 31 dicembre 2021 nella misura del 70 per cento; </w:t>
      </w:r>
      <w:r w:rsidRPr="0024187C">
        <w:rPr>
          <w:rFonts w:eastAsia="Times New Roman" w:cs="Times New Roman"/>
          <w:i/>
          <w:lang w:eastAsia="it-IT"/>
        </w:rPr>
        <w:t>per il periodo d'imposta successivo a quello in corso al 31 dicembre 2018 tale deduzione è applicata nella misura del 50 per cento e per il periodo d’imposta successivo a quello in corso al 31 dicembre 2019 e al 31 dicembre 2020 nella misura del 60 per cento</w:t>
      </w:r>
      <w:r w:rsidRPr="0024187C">
        <w:rPr>
          <w:rFonts w:cs="Times New Roman"/>
        </w:rPr>
        <w:t>”.</w:t>
      </w:r>
    </w:p>
    <w:p w:rsidR="00FE2956" w:rsidRPr="002279E2" w:rsidRDefault="00FE2956" w:rsidP="00FE2956">
      <w:pPr>
        <w:rPr>
          <w:rFonts w:eastAsia="Times New Roman" w:cs="Times New Roman"/>
          <w:lang w:eastAsia="it-IT"/>
        </w:rPr>
      </w:pPr>
    </w:p>
    <w:p w:rsidR="00FE2956" w:rsidRPr="002279E2" w:rsidRDefault="00FE2956" w:rsidP="00FE2956">
      <w:pPr>
        <w:jc w:val="center"/>
        <w:rPr>
          <w:rFonts w:eastAsia="Times New Roman" w:cs="Times New Roman"/>
          <w:b/>
          <w:lang w:eastAsia="it-IT"/>
        </w:rPr>
      </w:pPr>
      <w:r w:rsidRPr="002279E2">
        <w:rPr>
          <w:rFonts w:eastAsia="Times New Roman" w:cs="Times New Roman"/>
          <w:b/>
          <w:iCs/>
          <w:lang w:eastAsia="it-IT"/>
        </w:rPr>
        <w:t>Relazione illustrativa</w:t>
      </w:r>
    </w:p>
    <w:p w:rsidR="00FE2956" w:rsidRPr="002279E2" w:rsidRDefault="00FE2956" w:rsidP="00FE2956">
      <w:pPr>
        <w:rPr>
          <w:rFonts w:eastAsia="Times New Roman" w:cs="Times New Roman"/>
          <w:lang w:eastAsia="it-IT"/>
        </w:rPr>
      </w:pPr>
      <w:r w:rsidRPr="002279E2">
        <w:rPr>
          <w:rFonts w:eastAsia="Times New Roman" w:cs="Times New Roman"/>
          <w:lang w:eastAsia="it-IT"/>
        </w:rPr>
        <w:t>La disposizione incrementa, a regime, la percentuale di deducibilità dell’IMU dal reddito d’impresa e di lavoro autonomo - già aumentato al 40 per cento dalla legge di bilancio per il 2019 (art. 1, comma 12, della legge 30 dicembre 2018, n. 145) - nella misura del 70 per cento a decorrere dal periodo d’imposta successivo a quello in corso al 31 dicembre 2021 (per i soggetti con esercizio coincidente con l’anno solare 2022).</w:t>
      </w:r>
    </w:p>
    <w:p w:rsidR="00FE2956" w:rsidRPr="002279E2" w:rsidRDefault="00FE2956" w:rsidP="00FE2956">
      <w:pPr>
        <w:rPr>
          <w:rFonts w:eastAsia="Times New Roman" w:cs="Times New Roman"/>
          <w:lang w:eastAsia="it-IT"/>
        </w:rPr>
      </w:pPr>
      <w:r w:rsidRPr="002279E2">
        <w:rPr>
          <w:rFonts w:eastAsia="Times New Roman" w:cs="Times New Roman"/>
          <w:lang w:eastAsia="it-IT"/>
        </w:rPr>
        <w:t>In via transitoria, si dispone, comunque, un graduale incremento della deducibilità dell’IMU per gli anni dal 2019 al 2022 nelle seguenti misure:</w:t>
      </w:r>
    </w:p>
    <w:p w:rsidR="00FE2956" w:rsidRPr="002279E2" w:rsidRDefault="00FE2956" w:rsidP="00826FD7">
      <w:pPr>
        <w:numPr>
          <w:ilvl w:val="0"/>
          <w:numId w:val="24"/>
        </w:numPr>
        <w:contextualSpacing/>
        <w:rPr>
          <w:rFonts w:eastAsia="Times New Roman" w:cs="Times New Roman"/>
          <w:lang w:eastAsia="it-IT"/>
        </w:rPr>
      </w:pPr>
      <w:r w:rsidRPr="002279E2">
        <w:rPr>
          <w:rFonts w:eastAsia="Times New Roman" w:cs="Times New Roman"/>
          <w:lang w:eastAsia="it-IT"/>
        </w:rPr>
        <w:t>50 per cento per il periodo d’imposta successivo a quello in corso al 31 dicembre 2018;</w:t>
      </w:r>
    </w:p>
    <w:p w:rsidR="00FE2956" w:rsidRPr="002279E2" w:rsidRDefault="00FE2956" w:rsidP="00826FD7">
      <w:pPr>
        <w:numPr>
          <w:ilvl w:val="0"/>
          <w:numId w:val="24"/>
        </w:numPr>
        <w:contextualSpacing/>
        <w:rPr>
          <w:rFonts w:eastAsia="Times New Roman" w:cs="Times New Roman"/>
          <w:lang w:eastAsia="it-IT"/>
        </w:rPr>
      </w:pPr>
      <w:r w:rsidRPr="002279E2">
        <w:rPr>
          <w:rFonts w:eastAsia="Times New Roman" w:cs="Times New Roman"/>
          <w:lang w:eastAsia="it-IT"/>
        </w:rPr>
        <w:t>60 per cento per il periodo d’imposta successivo a quello in corso al 31 dicembre 2019;</w:t>
      </w:r>
    </w:p>
    <w:p w:rsidR="00FE2956" w:rsidRPr="002279E2" w:rsidRDefault="00FE2956" w:rsidP="00826FD7">
      <w:pPr>
        <w:numPr>
          <w:ilvl w:val="0"/>
          <w:numId w:val="24"/>
        </w:numPr>
        <w:contextualSpacing/>
        <w:rPr>
          <w:rFonts w:eastAsia="Times New Roman" w:cs="Times New Roman"/>
          <w:lang w:eastAsia="it-IT"/>
        </w:rPr>
      </w:pPr>
      <w:r w:rsidRPr="002279E2">
        <w:rPr>
          <w:rFonts w:eastAsia="Times New Roman" w:cs="Times New Roman"/>
          <w:lang w:eastAsia="it-IT"/>
        </w:rPr>
        <w:t>60 per cento per il periodo d’imposta successivo a quello in corso al 31 dicembre 2020.</w:t>
      </w:r>
    </w:p>
    <w:p w:rsidR="00FE2956" w:rsidRPr="002279E2" w:rsidRDefault="00FE2956" w:rsidP="00FE2956">
      <w:pPr>
        <w:jc w:val="center"/>
        <w:rPr>
          <w:rFonts w:eastAsia="Times New Roman" w:cs="Times New Roman"/>
          <w:b/>
          <w:i/>
          <w:lang w:eastAsia="ar-SA"/>
        </w:rPr>
      </w:pPr>
    </w:p>
    <w:p w:rsidR="00FE2956" w:rsidRPr="002279E2" w:rsidRDefault="00FE2956" w:rsidP="00FE2956">
      <w:pPr>
        <w:jc w:val="center"/>
        <w:rPr>
          <w:rFonts w:eastAsia="Times New Roman" w:cs="Times New Roman"/>
          <w:b/>
          <w:iCs/>
          <w:lang w:eastAsia="it-IT"/>
        </w:rPr>
      </w:pPr>
      <w:r w:rsidRPr="002279E2">
        <w:rPr>
          <w:rFonts w:eastAsia="Times New Roman" w:cs="Times New Roman"/>
          <w:b/>
          <w:iCs/>
          <w:lang w:eastAsia="it-IT"/>
        </w:rPr>
        <w:t xml:space="preserve">Relazione tecnica </w:t>
      </w:r>
    </w:p>
    <w:p w:rsidR="00FE2956" w:rsidRPr="002279E2" w:rsidRDefault="00FE2956" w:rsidP="00FE2956">
      <w:pPr>
        <w:autoSpaceDE w:val="0"/>
        <w:autoSpaceDN w:val="0"/>
        <w:adjustRightInd w:val="0"/>
        <w:rPr>
          <w:rFonts w:cs="Times New Roman"/>
        </w:rPr>
      </w:pPr>
      <w:r w:rsidRPr="002279E2">
        <w:rPr>
          <w:rFonts w:cs="Times New Roman"/>
        </w:rPr>
        <w:t xml:space="preserve">La disposizione stabilisce che, ai fini della determinazione del reddito di impresa e del reddito derivante dall'esercizio di arti e professioni, l’imposta municipale propria relativa agli immobili strumentali è deducibile nella misura del 50% nell’anno di imposta 2019, del 60% negli anni 2020-2021 e del 70% dal 2022. </w:t>
      </w:r>
    </w:p>
    <w:p w:rsidR="00FE2956" w:rsidRPr="002279E2" w:rsidRDefault="00FE2956" w:rsidP="00FE2956">
      <w:pPr>
        <w:autoSpaceDE w:val="0"/>
        <w:autoSpaceDN w:val="0"/>
        <w:adjustRightInd w:val="0"/>
        <w:rPr>
          <w:rFonts w:cs="Times New Roman"/>
        </w:rPr>
      </w:pPr>
      <w:r w:rsidRPr="002279E2">
        <w:rPr>
          <w:rFonts w:cs="Times New Roman"/>
        </w:rPr>
        <w:t>Ai fini della stima, sono stati estratti i dati dichiarativi IRES/IRPEF (Società di Capitali, Società di Persone, Persone Fisiche ed Enti non Commerciali – Unico 2017, anno di imposta 2016) ed è stata individuata la variazione in diminuzione relativa alla quota deducibile (20%) dell’IMU sugli immobili strumentali per un importo di circa 930 milioni di euro. Attraverso l’utilizzo del modello reddito di impresa, è stato valutato l’effetto delle modifiche introdotte dalla Legge di Bilancio 2019, stimando il passaggio della deducibilità dal 20% al 40% dal 2019.</w:t>
      </w:r>
    </w:p>
    <w:p w:rsidR="00FE2956" w:rsidRPr="002279E2" w:rsidRDefault="00FE2956" w:rsidP="00FE2956">
      <w:pPr>
        <w:autoSpaceDE w:val="0"/>
        <w:autoSpaceDN w:val="0"/>
        <w:adjustRightInd w:val="0"/>
        <w:rPr>
          <w:rFonts w:cs="Times New Roman"/>
        </w:rPr>
      </w:pPr>
      <w:r w:rsidRPr="002279E2">
        <w:rPr>
          <w:rFonts w:cs="Times New Roman"/>
        </w:rPr>
        <w:t>Considerando la quota di IMU deducibile al 20% rilevata dalle dichiarazioni dei redditi 2017 (930 milioni di euro), la deducibilità prevista a legislazione vigente (Legge di Bilancio 2019 - 40%) è stimata in circa 1.860 milioni di euro. La normativa proposta renderebbe deducibile un ulteriore 10% nel 2019, un ulteriore 20% negli anni 2020-2021 e un ulteriore 30% dal 2022. Si riporta di seguito l’ammontare della perdita di gettito di competenza:</w:t>
      </w:r>
    </w:p>
    <w:tbl>
      <w:tblPr>
        <w:tblW w:w="6744" w:type="dxa"/>
        <w:jc w:val="center"/>
        <w:tblCellMar>
          <w:left w:w="70" w:type="dxa"/>
          <w:right w:w="70" w:type="dxa"/>
        </w:tblCellMar>
        <w:tblLook w:val="04A0" w:firstRow="1" w:lastRow="0" w:firstColumn="1" w:lastColumn="0" w:noHBand="0" w:noVBand="1"/>
      </w:tblPr>
      <w:tblGrid>
        <w:gridCol w:w="2904"/>
        <w:gridCol w:w="960"/>
        <w:gridCol w:w="960"/>
        <w:gridCol w:w="960"/>
        <w:gridCol w:w="960"/>
      </w:tblGrid>
      <w:tr w:rsidR="00FE2956" w:rsidRPr="002279E2" w:rsidTr="00FE2956">
        <w:trPr>
          <w:trHeight w:val="300"/>
          <w:jc w:val="center"/>
        </w:trPr>
        <w:tc>
          <w:tcPr>
            <w:tcW w:w="29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956" w:rsidRPr="002279E2" w:rsidRDefault="00FE2956" w:rsidP="00FE2956">
            <w:pPr>
              <w:shd w:val="clear" w:color="auto" w:fill="FFFFFF"/>
              <w:contextualSpacing/>
              <w:rPr>
                <w:rFonts w:eastAsia="Times New Roman" w:cs="Times New Roman"/>
                <w:lang w:eastAsia="it-IT"/>
              </w:rPr>
            </w:pP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2019</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2020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2021</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2022</w:t>
            </w:r>
          </w:p>
        </w:tc>
      </w:tr>
      <w:tr w:rsidR="00FE2956" w:rsidRPr="002279E2" w:rsidTr="00FE2956">
        <w:trPr>
          <w:trHeight w:val="300"/>
          <w:jc w:val="center"/>
        </w:trPr>
        <w:tc>
          <w:tcPr>
            <w:tcW w:w="2904" w:type="dxa"/>
            <w:tcBorders>
              <w:top w:val="nil"/>
              <w:left w:val="single" w:sz="4" w:space="0" w:color="auto"/>
              <w:bottom w:val="single" w:sz="4" w:space="0" w:color="auto"/>
              <w:right w:val="single" w:sz="4" w:space="0" w:color="auto"/>
            </w:tcBorders>
            <w:shd w:val="clear" w:color="000000" w:fill="FFFFFF"/>
            <w:noWrap/>
            <w:vAlign w:val="center"/>
            <w:hideMark/>
          </w:tcPr>
          <w:p w:rsidR="00FE2956" w:rsidRPr="002279E2" w:rsidRDefault="00FE2956" w:rsidP="00FE2956">
            <w:pPr>
              <w:shd w:val="clear" w:color="auto" w:fill="FFFFFF"/>
              <w:contextualSpacing/>
              <w:rPr>
                <w:rFonts w:eastAsia="Times New Roman" w:cs="Times New Roman"/>
                <w:b/>
                <w:lang w:eastAsia="it-IT"/>
              </w:rPr>
            </w:pPr>
            <w:r w:rsidRPr="002279E2">
              <w:rPr>
                <w:rFonts w:eastAsia="Times New Roman" w:cs="Times New Roman"/>
                <w:b/>
                <w:lang w:eastAsia="it-IT"/>
              </w:rPr>
              <w:t>IRES</w:t>
            </w:r>
          </w:p>
        </w:tc>
        <w:tc>
          <w:tcPr>
            <w:tcW w:w="96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lang w:eastAsia="it-IT"/>
              </w:rPr>
            </w:pPr>
            <w:r w:rsidRPr="002279E2">
              <w:rPr>
                <w:rFonts w:eastAsia="Times New Roman" w:cs="Times New Roman"/>
                <w:lang w:eastAsia="it-IT"/>
              </w:rPr>
              <w:t>-63,2</w:t>
            </w:r>
          </w:p>
        </w:tc>
        <w:tc>
          <w:tcPr>
            <w:tcW w:w="96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lang w:eastAsia="it-IT"/>
              </w:rPr>
            </w:pPr>
            <w:r w:rsidRPr="002279E2">
              <w:rPr>
                <w:rFonts w:eastAsia="Times New Roman" w:cs="Times New Roman"/>
                <w:lang w:eastAsia="it-IT"/>
              </w:rPr>
              <w:t>-126,4</w:t>
            </w:r>
          </w:p>
        </w:tc>
        <w:tc>
          <w:tcPr>
            <w:tcW w:w="96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lang w:eastAsia="it-IT"/>
              </w:rPr>
            </w:pPr>
            <w:r w:rsidRPr="002279E2">
              <w:rPr>
                <w:rFonts w:eastAsia="Times New Roman" w:cs="Times New Roman"/>
                <w:lang w:eastAsia="it-IT"/>
              </w:rPr>
              <w:t>-126,4</w:t>
            </w:r>
          </w:p>
        </w:tc>
        <w:tc>
          <w:tcPr>
            <w:tcW w:w="96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lang w:eastAsia="it-IT"/>
              </w:rPr>
            </w:pPr>
            <w:r w:rsidRPr="002279E2">
              <w:rPr>
                <w:rFonts w:eastAsia="Times New Roman" w:cs="Times New Roman"/>
                <w:lang w:eastAsia="it-IT"/>
              </w:rPr>
              <w:t>-189,6</w:t>
            </w:r>
          </w:p>
        </w:tc>
      </w:tr>
      <w:tr w:rsidR="00FE2956" w:rsidRPr="002279E2" w:rsidTr="00FE2956">
        <w:trPr>
          <w:trHeight w:val="300"/>
          <w:jc w:val="center"/>
        </w:trPr>
        <w:tc>
          <w:tcPr>
            <w:tcW w:w="2904" w:type="dxa"/>
            <w:tcBorders>
              <w:top w:val="nil"/>
              <w:left w:val="single" w:sz="4" w:space="0" w:color="auto"/>
              <w:bottom w:val="single" w:sz="4" w:space="0" w:color="auto"/>
              <w:right w:val="single" w:sz="4" w:space="0" w:color="auto"/>
            </w:tcBorders>
            <w:shd w:val="clear" w:color="000000" w:fill="FFFFFF"/>
            <w:noWrap/>
            <w:vAlign w:val="center"/>
            <w:hideMark/>
          </w:tcPr>
          <w:p w:rsidR="00FE2956" w:rsidRPr="002279E2" w:rsidRDefault="00FE2956" w:rsidP="00FE2956">
            <w:pPr>
              <w:shd w:val="clear" w:color="auto" w:fill="FFFFFF"/>
              <w:contextualSpacing/>
              <w:rPr>
                <w:rFonts w:eastAsia="Times New Roman" w:cs="Times New Roman"/>
                <w:b/>
                <w:lang w:eastAsia="it-IT"/>
              </w:rPr>
            </w:pPr>
            <w:r w:rsidRPr="002279E2">
              <w:rPr>
                <w:rFonts w:eastAsia="Times New Roman" w:cs="Times New Roman"/>
                <w:b/>
                <w:lang w:eastAsia="it-IT"/>
              </w:rPr>
              <w:t xml:space="preserve">IRPEF </w:t>
            </w:r>
          </w:p>
        </w:tc>
        <w:tc>
          <w:tcPr>
            <w:tcW w:w="96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lang w:eastAsia="it-IT"/>
              </w:rPr>
            </w:pPr>
            <w:r w:rsidRPr="002279E2">
              <w:rPr>
                <w:rFonts w:eastAsia="Times New Roman" w:cs="Times New Roman"/>
                <w:lang w:eastAsia="it-IT"/>
              </w:rPr>
              <w:t>-18,9</w:t>
            </w:r>
          </w:p>
        </w:tc>
        <w:tc>
          <w:tcPr>
            <w:tcW w:w="96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lang w:eastAsia="it-IT"/>
              </w:rPr>
            </w:pPr>
            <w:r w:rsidRPr="002279E2">
              <w:rPr>
                <w:rFonts w:eastAsia="Times New Roman" w:cs="Times New Roman"/>
                <w:lang w:eastAsia="it-IT"/>
              </w:rPr>
              <w:t>-37,8</w:t>
            </w:r>
          </w:p>
        </w:tc>
        <w:tc>
          <w:tcPr>
            <w:tcW w:w="96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lang w:eastAsia="it-IT"/>
              </w:rPr>
            </w:pPr>
            <w:r w:rsidRPr="002279E2">
              <w:rPr>
                <w:rFonts w:eastAsia="Times New Roman" w:cs="Times New Roman"/>
                <w:lang w:eastAsia="it-IT"/>
              </w:rPr>
              <w:t>-37,8</w:t>
            </w:r>
          </w:p>
        </w:tc>
        <w:tc>
          <w:tcPr>
            <w:tcW w:w="96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lang w:eastAsia="it-IT"/>
              </w:rPr>
            </w:pPr>
            <w:r w:rsidRPr="002279E2">
              <w:rPr>
                <w:rFonts w:eastAsia="Times New Roman" w:cs="Times New Roman"/>
                <w:lang w:eastAsia="it-IT"/>
              </w:rPr>
              <w:t>-56,7</w:t>
            </w:r>
          </w:p>
        </w:tc>
      </w:tr>
      <w:tr w:rsidR="00FE2956" w:rsidRPr="002279E2" w:rsidTr="00FE2956">
        <w:trPr>
          <w:trHeight w:val="300"/>
          <w:jc w:val="center"/>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rPr>
                <w:rFonts w:eastAsia="Times New Roman" w:cs="Times New Roman"/>
                <w:b/>
                <w:lang w:eastAsia="it-IT"/>
              </w:rPr>
            </w:pPr>
            <w:r w:rsidRPr="002279E2">
              <w:rPr>
                <w:rFonts w:eastAsia="Times New Roman" w:cs="Times New Roman"/>
                <w:b/>
                <w:lang w:eastAsia="it-IT"/>
              </w:rPr>
              <w:t>Addizionale regionale</w:t>
            </w:r>
          </w:p>
        </w:tc>
        <w:tc>
          <w:tcPr>
            <w:tcW w:w="96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lang w:eastAsia="it-IT"/>
              </w:rPr>
            </w:pPr>
            <w:r w:rsidRPr="002279E2">
              <w:rPr>
                <w:rFonts w:eastAsia="Times New Roman" w:cs="Times New Roman"/>
                <w:lang w:eastAsia="it-IT"/>
              </w:rPr>
              <w:t>-1,0</w:t>
            </w:r>
          </w:p>
        </w:tc>
        <w:tc>
          <w:tcPr>
            <w:tcW w:w="96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lang w:eastAsia="it-IT"/>
              </w:rPr>
            </w:pPr>
            <w:r w:rsidRPr="002279E2">
              <w:rPr>
                <w:rFonts w:eastAsia="Times New Roman" w:cs="Times New Roman"/>
                <w:lang w:eastAsia="it-IT"/>
              </w:rPr>
              <w:t>-2,0</w:t>
            </w:r>
          </w:p>
        </w:tc>
        <w:tc>
          <w:tcPr>
            <w:tcW w:w="96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lang w:eastAsia="it-IT"/>
              </w:rPr>
            </w:pPr>
            <w:r w:rsidRPr="002279E2">
              <w:rPr>
                <w:rFonts w:eastAsia="Times New Roman" w:cs="Times New Roman"/>
                <w:lang w:eastAsia="it-IT"/>
              </w:rPr>
              <w:t>-2,0</w:t>
            </w:r>
          </w:p>
        </w:tc>
        <w:tc>
          <w:tcPr>
            <w:tcW w:w="96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lang w:eastAsia="it-IT"/>
              </w:rPr>
            </w:pPr>
            <w:r w:rsidRPr="002279E2">
              <w:rPr>
                <w:rFonts w:eastAsia="Times New Roman" w:cs="Times New Roman"/>
                <w:lang w:eastAsia="it-IT"/>
              </w:rPr>
              <w:t>-3,0</w:t>
            </w:r>
          </w:p>
        </w:tc>
      </w:tr>
      <w:tr w:rsidR="00FE2956" w:rsidRPr="002279E2" w:rsidTr="00FE2956">
        <w:trPr>
          <w:trHeight w:val="300"/>
          <w:jc w:val="center"/>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rPr>
                <w:rFonts w:eastAsia="Times New Roman" w:cs="Times New Roman"/>
                <w:b/>
                <w:lang w:eastAsia="it-IT"/>
              </w:rPr>
            </w:pPr>
            <w:r w:rsidRPr="002279E2">
              <w:rPr>
                <w:rFonts w:eastAsia="Times New Roman" w:cs="Times New Roman"/>
                <w:b/>
                <w:lang w:eastAsia="it-IT"/>
              </w:rPr>
              <w:t>Addizionale comunale</w:t>
            </w:r>
          </w:p>
        </w:tc>
        <w:tc>
          <w:tcPr>
            <w:tcW w:w="96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lang w:eastAsia="it-IT"/>
              </w:rPr>
            </w:pPr>
            <w:r w:rsidRPr="002279E2">
              <w:rPr>
                <w:rFonts w:eastAsia="Times New Roman" w:cs="Times New Roman"/>
                <w:lang w:eastAsia="it-IT"/>
              </w:rPr>
              <w:t>-0,4</w:t>
            </w:r>
          </w:p>
        </w:tc>
        <w:tc>
          <w:tcPr>
            <w:tcW w:w="96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lang w:eastAsia="it-IT"/>
              </w:rPr>
            </w:pPr>
            <w:r w:rsidRPr="002279E2">
              <w:rPr>
                <w:rFonts w:eastAsia="Times New Roman" w:cs="Times New Roman"/>
                <w:lang w:eastAsia="it-IT"/>
              </w:rPr>
              <w:t>-0,7</w:t>
            </w:r>
          </w:p>
        </w:tc>
        <w:tc>
          <w:tcPr>
            <w:tcW w:w="96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lang w:eastAsia="it-IT"/>
              </w:rPr>
            </w:pPr>
            <w:r w:rsidRPr="002279E2">
              <w:rPr>
                <w:rFonts w:eastAsia="Times New Roman" w:cs="Times New Roman"/>
                <w:lang w:eastAsia="it-IT"/>
              </w:rPr>
              <w:t>-0,7</w:t>
            </w:r>
          </w:p>
        </w:tc>
        <w:tc>
          <w:tcPr>
            <w:tcW w:w="96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lang w:eastAsia="it-IT"/>
              </w:rPr>
            </w:pPr>
            <w:r w:rsidRPr="002279E2">
              <w:rPr>
                <w:rFonts w:eastAsia="Times New Roman" w:cs="Times New Roman"/>
                <w:lang w:eastAsia="it-IT"/>
              </w:rPr>
              <w:t>-1,1</w:t>
            </w:r>
          </w:p>
        </w:tc>
      </w:tr>
      <w:tr w:rsidR="00FE2956" w:rsidRPr="002279E2" w:rsidTr="00FE2956">
        <w:trPr>
          <w:trHeight w:val="300"/>
          <w:jc w:val="center"/>
        </w:trPr>
        <w:tc>
          <w:tcPr>
            <w:tcW w:w="2904" w:type="dxa"/>
            <w:tcBorders>
              <w:top w:val="nil"/>
              <w:left w:val="single" w:sz="4" w:space="0" w:color="auto"/>
              <w:bottom w:val="single" w:sz="4" w:space="0" w:color="auto"/>
              <w:right w:val="single" w:sz="4" w:space="0" w:color="auto"/>
            </w:tcBorders>
            <w:shd w:val="clear" w:color="000000" w:fill="FFFFFF"/>
            <w:noWrap/>
            <w:vAlign w:val="center"/>
            <w:hideMark/>
          </w:tcPr>
          <w:p w:rsidR="00FE2956" w:rsidRPr="002279E2" w:rsidRDefault="00FE2956" w:rsidP="00FE2956">
            <w:pPr>
              <w:shd w:val="clear" w:color="auto" w:fill="FFFFFF"/>
              <w:contextualSpacing/>
              <w:rPr>
                <w:rFonts w:eastAsia="Times New Roman" w:cs="Times New Roman"/>
                <w:b/>
                <w:lang w:eastAsia="it-IT"/>
              </w:rPr>
            </w:pPr>
            <w:r w:rsidRPr="002279E2">
              <w:rPr>
                <w:rFonts w:eastAsia="Times New Roman" w:cs="Times New Roman"/>
                <w:b/>
                <w:lang w:eastAsia="it-IT"/>
              </w:rPr>
              <w:t>Totale</w:t>
            </w:r>
          </w:p>
        </w:tc>
        <w:tc>
          <w:tcPr>
            <w:tcW w:w="96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-83,5</w:t>
            </w:r>
          </w:p>
        </w:tc>
        <w:tc>
          <w:tcPr>
            <w:tcW w:w="96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-166,9</w:t>
            </w:r>
          </w:p>
        </w:tc>
        <w:tc>
          <w:tcPr>
            <w:tcW w:w="96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-166,9</w:t>
            </w:r>
          </w:p>
        </w:tc>
        <w:tc>
          <w:tcPr>
            <w:tcW w:w="960" w:type="dxa"/>
            <w:tcBorders>
              <w:top w:val="nil"/>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-250,35</w:t>
            </w:r>
          </w:p>
        </w:tc>
      </w:tr>
      <w:tr w:rsidR="00FE2956" w:rsidRPr="002279E2" w:rsidTr="00FE2956">
        <w:trPr>
          <w:trHeight w:val="300"/>
          <w:jc w:val="center"/>
        </w:trPr>
        <w:tc>
          <w:tcPr>
            <w:tcW w:w="2904" w:type="dxa"/>
            <w:tcBorders>
              <w:top w:val="nil"/>
              <w:left w:val="nil"/>
              <w:bottom w:val="nil"/>
              <w:right w:val="nil"/>
            </w:tcBorders>
            <w:shd w:val="clear" w:color="000000" w:fill="FFFFFF"/>
            <w:noWrap/>
            <w:vAlign w:val="center"/>
            <w:hideMark/>
          </w:tcPr>
          <w:p w:rsidR="00FE2956" w:rsidRPr="002279E2" w:rsidRDefault="00FE2956" w:rsidP="00FE2956">
            <w:pPr>
              <w:rPr>
                <w:rFonts w:eastAsia="Times New Roman" w:cs="Times New Roman"/>
                <w:i/>
                <w:iCs/>
                <w:color w:val="000000"/>
                <w:lang w:eastAsia="it-IT"/>
              </w:rPr>
            </w:pPr>
            <w:r w:rsidRPr="002279E2">
              <w:rPr>
                <w:rFonts w:eastAsia="Times New Roman" w:cs="Times New Roman"/>
                <w:i/>
                <w:iCs/>
                <w:color w:val="000000"/>
                <w:lang w:eastAsia="it-IT"/>
              </w:rPr>
              <w:t>Milioni di euro</w:t>
            </w:r>
          </w:p>
        </w:tc>
        <w:tc>
          <w:tcPr>
            <w:tcW w:w="960" w:type="dxa"/>
            <w:tcBorders>
              <w:top w:val="nil"/>
              <w:left w:val="nil"/>
              <w:bottom w:val="nil"/>
              <w:right w:val="nil"/>
            </w:tcBorders>
            <w:shd w:val="clear" w:color="000000" w:fill="FFFFFF"/>
            <w:noWrap/>
            <w:vAlign w:val="center"/>
            <w:hideMark/>
          </w:tcPr>
          <w:p w:rsidR="00FE2956" w:rsidRPr="002279E2" w:rsidRDefault="00FE2956" w:rsidP="00FE2956">
            <w:pPr>
              <w:rPr>
                <w:rFonts w:eastAsia="Times New Roman" w:cs="Times New Roman"/>
                <w:i/>
                <w:iCs/>
                <w:color w:val="000000"/>
                <w:lang w:eastAsia="it-IT"/>
              </w:rPr>
            </w:pPr>
            <w:r w:rsidRPr="002279E2">
              <w:rPr>
                <w:rFonts w:eastAsia="Times New Roman" w:cs="Times New Roman"/>
                <w:i/>
                <w:iCs/>
                <w:color w:val="000000"/>
                <w:lang w:eastAsia="it-IT"/>
              </w:rPr>
              <w:t> </w:t>
            </w:r>
          </w:p>
        </w:tc>
        <w:tc>
          <w:tcPr>
            <w:tcW w:w="960" w:type="dxa"/>
            <w:tcBorders>
              <w:top w:val="nil"/>
              <w:left w:val="nil"/>
              <w:bottom w:val="nil"/>
              <w:right w:val="nil"/>
            </w:tcBorders>
            <w:shd w:val="clear" w:color="000000" w:fill="FFFFFF"/>
            <w:noWrap/>
            <w:vAlign w:val="center"/>
            <w:hideMark/>
          </w:tcPr>
          <w:p w:rsidR="00FE2956" w:rsidRPr="002279E2" w:rsidRDefault="00FE2956" w:rsidP="00FE2956">
            <w:pPr>
              <w:rPr>
                <w:rFonts w:eastAsia="Times New Roman" w:cs="Times New Roman"/>
                <w:i/>
                <w:iCs/>
                <w:color w:val="000000"/>
                <w:lang w:eastAsia="it-IT"/>
              </w:rPr>
            </w:pPr>
            <w:r w:rsidRPr="002279E2">
              <w:rPr>
                <w:rFonts w:eastAsia="Times New Roman" w:cs="Times New Roman"/>
                <w:i/>
                <w:iCs/>
                <w:color w:val="000000"/>
                <w:lang w:eastAsia="it-IT"/>
              </w:rPr>
              <w:t> </w:t>
            </w:r>
          </w:p>
        </w:tc>
        <w:tc>
          <w:tcPr>
            <w:tcW w:w="960" w:type="dxa"/>
            <w:tcBorders>
              <w:top w:val="nil"/>
              <w:left w:val="nil"/>
              <w:bottom w:val="nil"/>
              <w:right w:val="nil"/>
            </w:tcBorders>
            <w:shd w:val="clear" w:color="000000" w:fill="FFFFFF"/>
            <w:noWrap/>
            <w:vAlign w:val="center"/>
            <w:hideMark/>
          </w:tcPr>
          <w:p w:rsidR="00FE2956" w:rsidRPr="002279E2" w:rsidRDefault="00FE2956" w:rsidP="00FE2956">
            <w:pPr>
              <w:rPr>
                <w:rFonts w:eastAsia="Times New Roman" w:cs="Times New Roman"/>
                <w:i/>
                <w:iCs/>
                <w:color w:val="000000"/>
                <w:lang w:eastAsia="it-IT"/>
              </w:rPr>
            </w:pPr>
            <w:r w:rsidRPr="002279E2">
              <w:rPr>
                <w:rFonts w:eastAsia="Times New Roman" w:cs="Times New Roman"/>
                <w:i/>
                <w:iCs/>
                <w:color w:val="000000"/>
                <w:lang w:eastAsia="it-IT"/>
              </w:rPr>
              <w:t> </w:t>
            </w:r>
          </w:p>
        </w:tc>
        <w:tc>
          <w:tcPr>
            <w:tcW w:w="960" w:type="dxa"/>
            <w:tcBorders>
              <w:top w:val="nil"/>
              <w:left w:val="nil"/>
              <w:bottom w:val="nil"/>
              <w:right w:val="nil"/>
            </w:tcBorders>
            <w:shd w:val="clear" w:color="auto" w:fill="auto"/>
            <w:noWrap/>
            <w:vAlign w:val="bottom"/>
            <w:hideMark/>
          </w:tcPr>
          <w:p w:rsidR="00FE2956" w:rsidRPr="002279E2" w:rsidRDefault="00FE2956" w:rsidP="00FE2956">
            <w:pPr>
              <w:rPr>
                <w:rFonts w:eastAsia="Times New Roman" w:cs="Times New Roman"/>
                <w:i/>
                <w:iCs/>
                <w:color w:val="000000"/>
                <w:lang w:eastAsia="it-IT"/>
              </w:rPr>
            </w:pPr>
          </w:p>
        </w:tc>
      </w:tr>
    </w:tbl>
    <w:p w:rsidR="00FE2956" w:rsidRPr="002279E2" w:rsidRDefault="00FE2956" w:rsidP="00FE2956">
      <w:pPr>
        <w:autoSpaceDE w:val="0"/>
        <w:autoSpaceDN w:val="0"/>
        <w:adjustRightInd w:val="0"/>
        <w:rPr>
          <w:rFonts w:cs="Times New Roman"/>
        </w:rPr>
      </w:pPr>
      <w:r w:rsidRPr="002279E2">
        <w:rPr>
          <w:rFonts w:cs="Times New Roman"/>
        </w:rPr>
        <w:t xml:space="preserve">L’andamento finanziario di cassa, con un acconto IRES/IRPEF del 75% e del 30% per l’addizionale comunale risulta: </w:t>
      </w:r>
    </w:p>
    <w:tbl>
      <w:tblPr>
        <w:tblW w:w="8522" w:type="dxa"/>
        <w:jc w:val="center"/>
        <w:tblCellMar>
          <w:left w:w="70" w:type="dxa"/>
          <w:right w:w="70" w:type="dxa"/>
        </w:tblCellMar>
        <w:tblLook w:val="04A0" w:firstRow="1" w:lastRow="0" w:firstColumn="1" w:lastColumn="0" w:noHBand="0" w:noVBand="1"/>
      </w:tblPr>
      <w:tblGrid>
        <w:gridCol w:w="2762"/>
        <w:gridCol w:w="960"/>
        <w:gridCol w:w="960"/>
        <w:gridCol w:w="960"/>
        <w:gridCol w:w="960"/>
        <w:gridCol w:w="960"/>
        <w:gridCol w:w="960"/>
      </w:tblGrid>
      <w:tr w:rsidR="00FE2956" w:rsidRPr="002279E2" w:rsidTr="00FE2956">
        <w:trPr>
          <w:trHeight w:val="300"/>
          <w:jc w:val="center"/>
        </w:trPr>
        <w:tc>
          <w:tcPr>
            <w:tcW w:w="2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956" w:rsidRPr="002279E2" w:rsidRDefault="00FE2956" w:rsidP="00FE2956">
            <w:pPr>
              <w:rPr>
                <w:rFonts w:eastAsia="Times New Roman" w:cs="Times New Roman"/>
                <w:b/>
                <w:bCs/>
                <w:color w:val="000000"/>
                <w:lang w:eastAsia="it-IT"/>
              </w:rPr>
            </w:pPr>
            <w:r w:rsidRPr="002279E2">
              <w:rPr>
                <w:rFonts w:eastAsia="Times New Roman" w:cs="Times New Roman"/>
                <w:b/>
                <w:bCs/>
                <w:color w:val="000000"/>
                <w:lang w:eastAsia="it-IT"/>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2019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2020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2021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2022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2023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2024</w:t>
            </w:r>
          </w:p>
        </w:tc>
      </w:tr>
      <w:tr w:rsidR="00FE2956" w:rsidRPr="002279E2" w:rsidTr="00FE2956">
        <w:trPr>
          <w:trHeight w:val="300"/>
          <w:jc w:val="center"/>
        </w:trPr>
        <w:tc>
          <w:tcPr>
            <w:tcW w:w="2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956" w:rsidRPr="002279E2" w:rsidRDefault="00FE2956" w:rsidP="00FE2956">
            <w:pPr>
              <w:rPr>
                <w:rFonts w:eastAsia="Times New Roman" w:cs="Times New Roman"/>
                <w:b/>
                <w:bCs/>
                <w:color w:val="000000"/>
                <w:lang w:eastAsia="it-IT"/>
              </w:rPr>
            </w:pPr>
            <w:r w:rsidRPr="002279E2">
              <w:rPr>
                <w:rFonts w:eastAsia="Times New Roman" w:cs="Times New Roman"/>
                <w:b/>
                <w:bCs/>
                <w:color w:val="000000"/>
                <w:lang w:eastAsia="it-IT"/>
              </w:rPr>
              <w:t>IRES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-110,6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-173,8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-126,4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-237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-189,6</w:t>
            </w:r>
          </w:p>
        </w:tc>
      </w:tr>
      <w:tr w:rsidR="00FE2956" w:rsidRPr="002279E2" w:rsidTr="00FE2956">
        <w:trPr>
          <w:trHeight w:val="300"/>
          <w:jc w:val="center"/>
        </w:trPr>
        <w:tc>
          <w:tcPr>
            <w:tcW w:w="2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956" w:rsidRPr="002279E2" w:rsidRDefault="00FE2956" w:rsidP="00FE2956">
            <w:pPr>
              <w:rPr>
                <w:rFonts w:eastAsia="Times New Roman" w:cs="Times New Roman"/>
                <w:b/>
                <w:bCs/>
                <w:color w:val="000000"/>
                <w:lang w:eastAsia="it-IT"/>
              </w:rPr>
            </w:pPr>
            <w:r w:rsidRPr="002279E2">
              <w:rPr>
                <w:rFonts w:eastAsia="Times New Roman" w:cs="Times New Roman"/>
                <w:b/>
                <w:bCs/>
                <w:color w:val="000000"/>
                <w:lang w:eastAsia="it-IT"/>
              </w:rPr>
              <w:t xml:space="preserve">IRPEF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-33,1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-52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-37,8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-70,9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-56,7</w:t>
            </w:r>
          </w:p>
        </w:tc>
      </w:tr>
      <w:tr w:rsidR="00FE2956" w:rsidRPr="002279E2" w:rsidTr="00FE2956">
        <w:trPr>
          <w:trHeight w:val="300"/>
          <w:jc w:val="center"/>
        </w:trPr>
        <w:tc>
          <w:tcPr>
            <w:tcW w:w="2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956" w:rsidRPr="002279E2" w:rsidRDefault="00FE2956" w:rsidP="00FE2956">
            <w:pPr>
              <w:rPr>
                <w:rFonts w:eastAsia="Times New Roman" w:cs="Times New Roman"/>
                <w:b/>
                <w:bCs/>
                <w:color w:val="000000"/>
                <w:lang w:eastAsia="it-IT"/>
              </w:rPr>
            </w:pPr>
            <w:r w:rsidRPr="002279E2">
              <w:rPr>
                <w:rFonts w:eastAsia="Times New Roman" w:cs="Times New Roman"/>
                <w:b/>
                <w:bCs/>
                <w:color w:val="000000"/>
                <w:lang w:eastAsia="it-IT"/>
              </w:rPr>
              <w:t>Addizionale regionale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-3</w:t>
            </w:r>
          </w:p>
        </w:tc>
      </w:tr>
      <w:tr w:rsidR="00FE2956" w:rsidRPr="002279E2" w:rsidTr="00FE2956">
        <w:trPr>
          <w:trHeight w:val="300"/>
          <w:jc w:val="center"/>
        </w:trPr>
        <w:tc>
          <w:tcPr>
            <w:tcW w:w="2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956" w:rsidRPr="002279E2" w:rsidRDefault="00FE2956" w:rsidP="00FE2956">
            <w:pPr>
              <w:rPr>
                <w:rFonts w:eastAsia="Times New Roman" w:cs="Times New Roman"/>
                <w:b/>
                <w:bCs/>
                <w:color w:val="000000"/>
                <w:lang w:eastAsia="it-IT"/>
              </w:rPr>
            </w:pPr>
            <w:r w:rsidRPr="002279E2">
              <w:rPr>
                <w:rFonts w:eastAsia="Times New Roman" w:cs="Times New Roman"/>
                <w:b/>
                <w:bCs/>
                <w:color w:val="000000"/>
                <w:lang w:eastAsia="it-IT"/>
              </w:rPr>
              <w:lastRenderedPageBreak/>
              <w:t>Addizionale comunale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-0,5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-0,7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-1,2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-1,1</w:t>
            </w:r>
          </w:p>
        </w:tc>
      </w:tr>
      <w:tr w:rsidR="00FE2956" w:rsidRPr="002279E2" w:rsidTr="00FE2956">
        <w:trPr>
          <w:trHeight w:val="300"/>
          <w:jc w:val="center"/>
        </w:trPr>
        <w:tc>
          <w:tcPr>
            <w:tcW w:w="2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956" w:rsidRPr="002279E2" w:rsidRDefault="00FE2956" w:rsidP="00FE2956">
            <w:pPr>
              <w:rPr>
                <w:rFonts w:eastAsia="Times New Roman" w:cs="Times New Roman"/>
                <w:b/>
                <w:bCs/>
                <w:color w:val="000000"/>
                <w:lang w:eastAsia="it-IT"/>
              </w:rPr>
            </w:pPr>
            <w:r w:rsidRPr="002279E2">
              <w:rPr>
                <w:rFonts w:eastAsia="Times New Roman" w:cs="Times New Roman"/>
                <w:b/>
                <w:bCs/>
                <w:color w:val="000000"/>
                <w:lang w:eastAsia="it-IT"/>
              </w:rPr>
              <w:t>Totale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-145,2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-228,6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-166,9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-312,1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956" w:rsidRPr="002279E2" w:rsidRDefault="00FE2956" w:rsidP="00FE2956">
            <w:pPr>
              <w:shd w:val="clear" w:color="auto" w:fill="FFFFFF"/>
              <w:contextualSpacing/>
              <w:jc w:val="center"/>
              <w:rPr>
                <w:rFonts w:eastAsia="Times New Roman" w:cs="Times New Roman"/>
                <w:b/>
                <w:lang w:eastAsia="it-IT"/>
              </w:rPr>
            </w:pPr>
            <w:r w:rsidRPr="002279E2">
              <w:rPr>
                <w:rFonts w:eastAsia="Times New Roman" w:cs="Times New Roman"/>
                <w:b/>
                <w:lang w:eastAsia="it-IT"/>
              </w:rPr>
              <w:t>-250,4</w:t>
            </w:r>
          </w:p>
        </w:tc>
      </w:tr>
      <w:tr w:rsidR="00FE2956" w:rsidRPr="002279E2" w:rsidTr="00FE2956">
        <w:trPr>
          <w:trHeight w:val="300"/>
          <w:jc w:val="center"/>
        </w:trPr>
        <w:tc>
          <w:tcPr>
            <w:tcW w:w="2762" w:type="dxa"/>
            <w:tcBorders>
              <w:top w:val="nil"/>
              <w:left w:val="nil"/>
              <w:bottom w:val="nil"/>
              <w:right w:val="nil"/>
            </w:tcBorders>
            <w:shd w:val="clear" w:color="000000" w:fill="FFFFFF"/>
            <w:noWrap/>
            <w:vAlign w:val="center"/>
            <w:hideMark/>
          </w:tcPr>
          <w:p w:rsidR="00FE2956" w:rsidRPr="002279E2" w:rsidRDefault="00FE2956" w:rsidP="00FE2956">
            <w:pPr>
              <w:rPr>
                <w:rFonts w:eastAsia="Times New Roman" w:cs="Times New Roman"/>
                <w:i/>
                <w:iCs/>
                <w:color w:val="000000"/>
                <w:lang w:eastAsia="it-IT"/>
              </w:rPr>
            </w:pPr>
            <w:r w:rsidRPr="002279E2">
              <w:rPr>
                <w:rFonts w:eastAsia="Times New Roman" w:cs="Times New Roman"/>
                <w:i/>
                <w:iCs/>
                <w:color w:val="000000"/>
                <w:lang w:eastAsia="it-IT"/>
              </w:rPr>
              <w:t>Milioni di euro</w:t>
            </w:r>
          </w:p>
        </w:tc>
        <w:tc>
          <w:tcPr>
            <w:tcW w:w="960" w:type="dxa"/>
            <w:tcBorders>
              <w:top w:val="nil"/>
              <w:left w:val="nil"/>
              <w:bottom w:val="nil"/>
              <w:right w:val="nil"/>
            </w:tcBorders>
            <w:shd w:val="clear" w:color="auto" w:fill="auto"/>
            <w:noWrap/>
            <w:vAlign w:val="bottom"/>
            <w:hideMark/>
          </w:tcPr>
          <w:p w:rsidR="00FE2956" w:rsidRPr="002279E2" w:rsidRDefault="00FE2956" w:rsidP="00FE2956">
            <w:pPr>
              <w:rPr>
                <w:rFonts w:eastAsia="Times New Roman" w:cs="Times New Roman"/>
                <w:i/>
                <w:iCs/>
                <w:color w:val="000000"/>
                <w:lang w:eastAsia="it-IT"/>
              </w:rPr>
            </w:pPr>
          </w:p>
        </w:tc>
        <w:tc>
          <w:tcPr>
            <w:tcW w:w="960" w:type="dxa"/>
            <w:tcBorders>
              <w:top w:val="nil"/>
              <w:left w:val="nil"/>
              <w:bottom w:val="nil"/>
              <w:right w:val="nil"/>
            </w:tcBorders>
            <w:shd w:val="clear" w:color="auto" w:fill="auto"/>
            <w:noWrap/>
            <w:vAlign w:val="bottom"/>
            <w:hideMark/>
          </w:tcPr>
          <w:p w:rsidR="00FE2956" w:rsidRPr="002279E2" w:rsidRDefault="00FE2956" w:rsidP="00FE2956">
            <w:pPr>
              <w:rPr>
                <w:rFonts w:eastAsia="Times New Roman" w:cs="Times New Roman"/>
                <w:lang w:eastAsia="it-IT"/>
              </w:rPr>
            </w:pPr>
          </w:p>
        </w:tc>
        <w:tc>
          <w:tcPr>
            <w:tcW w:w="960" w:type="dxa"/>
            <w:tcBorders>
              <w:top w:val="nil"/>
              <w:left w:val="nil"/>
              <w:bottom w:val="nil"/>
              <w:right w:val="nil"/>
            </w:tcBorders>
            <w:shd w:val="clear" w:color="auto" w:fill="auto"/>
            <w:noWrap/>
            <w:vAlign w:val="bottom"/>
            <w:hideMark/>
          </w:tcPr>
          <w:p w:rsidR="00FE2956" w:rsidRPr="002279E2" w:rsidRDefault="00FE2956" w:rsidP="00FE2956">
            <w:pPr>
              <w:rPr>
                <w:rFonts w:eastAsia="Times New Roman" w:cs="Times New Roman"/>
                <w:lang w:eastAsia="it-IT"/>
              </w:rPr>
            </w:pPr>
          </w:p>
        </w:tc>
        <w:tc>
          <w:tcPr>
            <w:tcW w:w="960" w:type="dxa"/>
            <w:tcBorders>
              <w:top w:val="nil"/>
              <w:left w:val="nil"/>
              <w:bottom w:val="nil"/>
              <w:right w:val="nil"/>
            </w:tcBorders>
            <w:shd w:val="clear" w:color="auto" w:fill="auto"/>
            <w:noWrap/>
            <w:vAlign w:val="bottom"/>
            <w:hideMark/>
          </w:tcPr>
          <w:p w:rsidR="00FE2956" w:rsidRPr="002279E2" w:rsidRDefault="00FE2956" w:rsidP="00FE2956">
            <w:pPr>
              <w:rPr>
                <w:rFonts w:eastAsia="Times New Roman" w:cs="Times New Roman"/>
                <w:lang w:eastAsia="it-IT"/>
              </w:rPr>
            </w:pPr>
          </w:p>
        </w:tc>
        <w:tc>
          <w:tcPr>
            <w:tcW w:w="960" w:type="dxa"/>
            <w:tcBorders>
              <w:top w:val="nil"/>
              <w:left w:val="nil"/>
              <w:bottom w:val="nil"/>
              <w:right w:val="nil"/>
            </w:tcBorders>
            <w:shd w:val="clear" w:color="auto" w:fill="auto"/>
            <w:noWrap/>
            <w:vAlign w:val="bottom"/>
            <w:hideMark/>
          </w:tcPr>
          <w:p w:rsidR="00FE2956" w:rsidRPr="002279E2" w:rsidRDefault="00FE2956" w:rsidP="00FE2956">
            <w:pPr>
              <w:rPr>
                <w:rFonts w:eastAsia="Times New Roman" w:cs="Times New Roman"/>
                <w:lang w:eastAsia="it-IT"/>
              </w:rPr>
            </w:pPr>
          </w:p>
        </w:tc>
        <w:tc>
          <w:tcPr>
            <w:tcW w:w="960" w:type="dxa"/>
            <w:tcBorders>
              <w:top w:val="nil"/>
              <w:left w:val="nil"/>
              <w:bottom w:val="nil"/>
              <w:right w:val="nil"/>
            </w:tcBorders>
            <w:shd w:val="clear" w:color="auto" w:fill="auto"/>
            <w:noWrap/>
            <w:vAlign w:val="bottom"/>
            <w:hideMark/>
          </w:tcPr>
          <w:p w:rsidR="00FE2956" w:rsidRPr="002279E2" w:rsidRDefault="00FE2956" w:rsidP="00FE2956">
            <w:pPr>
              <w:rPr>
                <w:rFonts w:eastAsia="Times New Roman" w:cs="Times New Roman"/>
                <w:color w:val="000000"/>
                <w:lang w:eastAsia="it-IT"/>
              </w:rPr>
            </w:pPr>
            <w:r w:rsidRPr="002279E2">
              <w:rPr>
                <w:rFonts w:eastAsia="Times New Roman" w:cs="Times New Roman"/>
                <w:color w:val="000000"/>
                <w:lang w:eastAsia="it-IT"/>
              </w:rPr>
              <w:t> </w:t>
            </w:r>
          </w:p>
        </w:tc>
      </w:tr>
    </w:tbl>
    <w:p w:rsidR="00FE2956" w:rsidRPr="002279E2" w:rsidRDefault="00FE2956" w:rsidP="005E06C3">
      <w:pPr>
        <w:pStyle w:val="Titolo2"/>
      </w:pPr>
    </w:p>
    <w:p w:rsidR="007E4FDC" w:rsidRPr="002279E2" w:rsidRDefault="007E4FDC" w:rsidP="005E06C3">
      <w:pPr>
        <w:pStyle w:val="Titolo2"/>
      </w:pPr>
      <w:bookmarkStart w:id="13" w:name="_Toc6937332"/>
      <w:r w:rsidRPr="002279E2">
        <w:t xml:space="preserve">Articolo </w:t>
      </w:r>
      <w:r w:rsidR="00B30DBD" w:rsidRPr="002279E2">
        <w:t>4</w:t>
      </w:r>
      <w:r w:rsidRPr="002279E2">
        <w:br/>
        <w:t>(</w:t>
      </w:r>
      <w:r w:rsidR="002366B8" w:rsidRPr="002279E2">
        <w:t>Modifiche alla disciplina del Patent box</w:t>
      </w:r>
      <w:r w:rsidRPr="002279E2">
        <w:t>)</w:t>
      </w:r>
      <w:bookmarkEnd w:id="12"/>
      <w:bookmarkEnd w:id="13"/>
    </w:p>
    <w:p w:rsidR="002C64DA" w:rsidRPr="002279E2" w:rsidRDefault="002C64DA" w:rsidP="002C64DA">
      <w:pPr>
        <w:rPr>
          <w:rFonts w:cs="Times New Roman"/>
        </w:rPr>
      </w:pPr>
      <w:r w:rsidRPr="002279E2">
        <w:rPr>
          <w:rFonts w:cs="Times New Roman"/>
        </w:rPr>
        <w:t>1. A decorrere dal periodo di imposta in corso alla data di entrata in vigore</w:t>
      </w:r>
      <w:r w:rsidRPr="002279E2">
        <w:rPr>
          <w:rFonts w:eastAsia="Calibri" w:cs="Times New Roman"/>
          <w:color w:val="000000"/>
        </w:rPr>
        <w:t xml:space="preserve"> </w:t>
      </w:r>
      <w:r w:rsidRPr="002279E2">
        <w:rPr>
          <w:rFonts w:cs="Times New Roman"/>
        </w:rPr>
        <w:t>del presente decreto, i soggetti titolari di reddito di impresa che optano per il regime agevolativo di cui all’articolo 1, commi da 37 a 43, della legge 23 dicembre 2014, n. 190, possono scegliere, in alternativa alla procedura di cui articolo 31-ter del decreto del Presidente della Repubblica 29 settembre 1973, n. 600, ove applicabile, di determinare e dichiarare il reddito agevolabile, indicando le informazioni necessarie alla predetta determinazione in idonea documentazione predisposta secondo quanto previsto da un provvedimento del Direttore dell’Agenzia delle entrate da emanare entro novanta giorni dalla data di entrata in vigore</w:t>
      </w:r>
      <w:r w:rsidRPr="002279E2">
        <w:rPr>
          <w:rFonts w:eastAsia="Calibri" w:cs="Times New Roman"/>
          <w:color w:val="000000"/>
        </w:rPr>
        <w:t xml:space="preserve"> </w:t>
      </w:r>
      <w:r w:rsidRPr="002279E2">
        <w:rPr>
          <w:rFonts w:cs="Times New Roman"/>
        </w:rPr>
        <w:t>del presente decreto, con il quale sono, altresì, definite le ulteriori disposizioni attuative del presente articolo. I soggetti che esercitano l’opzione prevista dal presente comma ripartiscono la variazione in diminuzione in tre quote annuali di pari importo da indicare nella dichiarazione dei redditi e dell’imposta regionale sulle attività produttive relativa al periodo di imposta in cui viene esercitata tale opzione e in quelle relative ai due periodi d’imposta successivi.</w:t>
      </w:r>
    </w:p>
    <w:p w:rsidR="002C64DA" w:rsidRPr="002279E2" w:rsidRDefault="002C64DA" w:rsidP="002C64DA">
      <w:pPr>
        <w:rPr>
          <w:rFonts w:cs="Times New Roman"/>
        </w:rPr>
      </w:pPr>
      <w:r w:rsidRPr="002279E2">
        <w:rPr>
          <w:rFonts w:cs="Times New Roman"/>
        </w:rPr>
        <w:t>2. In caso di rettifica del reddito escluso dal concorso alla formazione del reddito d’impresa ai sensi del regime agevolativo di cui al comma 1, determinato direttamente dai soggetti ivi indicati, da cui derivi una maggiore imposta o una differenza del credito, la sanzione di cui all’articolo 1, comma 2, del decreto legislativo 18 dicembre 1997, n. 471 non si applica qualora, nel corso di accessi, ispezioni, verifiche o di altra attività istruttoria, il contribuente consegni all’Amministrazione finanziaria la documentazione indicata nel provvedimento del Direttore dell’Agenzia delle entrate di cui al comma 1 idonea a consentire il riscontro della corretta determinazione della quota di reddito escluso, sia con riferimento all’ammontare dei componenti positivi di reddito, ivi inclusi quelli impliciti derivanti dall’utilizzo diretto dei beni indicati, sia con riferimento ai criteri e alla individuazione dei componenti negativi riferibili ai predetti componenti positivi.</w:t>
      </w:r>
    </w:p>
    <w:p w:rsidR="002C64DA" w:rsidRPr="002279E2" w:rsidRDefault="002C64DA" w:rsidP="002C64DA">
      <w:pPr>
        <w:rPr>
          <w:rFonts w:cs="Times New Roman"/>
        </w:rPr>
      </w:pPr>
      <w:r w:rsidRPr="002279E2">
        <w:rPr>
          <w:rFonts w:cs="Times New Roman"/>
        </w:rPr>
        <w:t xml:space="preserve">3. Il contribuente che detiene la documentazione prevista dal provvedimento, di cui al comma 1, deve darne comunicazione all’Amministrazione finanziaria nella dichiarazione relativa al periodo d’imposta per il quale si beneficia dell’agevolazione. </w:t>
      </w:r>
    </w:p>
    <w:p w:rsidR="002C64DA" w:rsidRPr="002279E2" w:rsidRDefault="002C64DA" w:rsidP="002C64DA">
      <w:pPr>
        <w:rPr>
          <w:rFonts w:cs="Times New Roman"/>
        </w:rPr>
      </w:pPr>
      <w:r w:rsidRPr="002279E2">
        <w:rPr>
          <w:rFonts w:cs="Times New Roman"/>
        </w:rPr>
        <w:t>4. Le disposizioni di cui al presente articolo si applicano anche in caso di attivazione delle procedure previste dall’articolo 31-ter del decreto del Presidente della Repubblica 29 settembre 1973, n. 600 a condizione che non sia stato concluso il relativo accordo, previa comunicazione all’Agenzia delle entrate dell’espressa volontà di rinuncia alla medesima procedura. I soggetti che esercitano l’opzione prevista dal presente comma ripartiscono la somma delle variazioni in diminuzione, relative ai periodi di imposta di applicazione dell’agevolazione, in tre quote annuali di pari importo da indicare nella dichiarazione dei redditi e dell’imposta regionale sulle attività produttive relativa al periodo di imposta in cui viene esercitata tale opzione e in quelle relative ai due periodi d’imposta successivi.</w:t>
      </w:r>
    </w:p>
    <w:p w:rsidR="002C64DA" w:rsidRPr="002279E2" w:rsidRDefault="002C64DA" w:rsidP="002C64DA">
      <w:pPr>
        <w:rPr>
          <w:rFonts w:cs="Times New Roman"/>
        </w:rPr>
      </w:pPr>
      <w:r w:rsidRPr="002279E2">
        <w:rPr>
          <w:rFonts w:cs="Times New Roman"/>
        </w:rPr>
        <w:t>5. Resta ferma la facoltà, per tutti i soggetti che intendano beneficiare dell’agevolazione, di applicare le disposizioni previste nel comma 2, mediante la presentazione di una dichiarazione integrativa ai sensi dell’articolo 2, comma 8 del decreto del Presidente della Repubblica 22 luglio 1998, n. 322, nella quale deve essere data indicazione del possesso della documentazione idonea di cui al comma 1 per ciascun periodo d’imposta oggetto di integrazione, purché tale dichiarazione integrativa sia presentata prima della formale conoscenza dell’inizio di qualunque attività di controllo relativa al regime previsto dai commi da 37 a 43 dell’articolo 1 della legge 23 dicembre 2014, n. 190.</w:t>
      </w:r>
    </w:p>
    <w:p w:rsidR="002C64DA" w:rsidRPr="002279E2" w:rsidRDefault="002C64DA" w:rsidP="002C64DA">
      <w:pPr>
        <w:rPr>
          <w:rFonts w:cs="Times New Roman"/>
        </w:rPr>
      </w:pPr>
      <w:r w:rsidRPr="002279E2">
        <w:rPr>
          <w:rFonts w:cs="Times New Roman"/>
        </w:rPr>
        <w:t>6. In assenza, nei casi previsti dal presente articolo, della comunicazione attestante il possesso della documentazione idonea di cui al comma 1, in caso di rettifica del reddito ai sensi del comma 2, si applica la sanzione di cui all’articolo 1,  comma 2 del decreto legislativo 18 dicembre 1997, n. 471.</w:t>
      </w:r>
    </w:p>
    <w:p w:rsidR="002C64DA" w:rsidRPr="002279E2" w:rsidRDefault="002C64DA" w:rsidP="002C64DA">
      <w:pPr>
        <w:rPr>
          <w:rFonts w:cs="Times New Roman"/>
        </w:rPr>
      </w:pPr>
    </w:p>
    <w:p w:rsidR="002C64DA" w:rsidRPr="002279E2" w:rsidRDefault="002C64DA" w:rsidP="002C64DA">
      <w:pPr>
        <w:jc w:val="center"/>
        <w:rPr>
          <w:rFonts w:cs="Times New Roman"/>
          <w:b/>
        </w:rPr>
      </w:pPr>
      <w:r w:rsidRPr="002279E2">
        <w:rPr>
          <w:rFonts w:cs="Times New Roman"/>
          <w:b/>
        </w:rPr>
        <w:t>Relazione illustrativa</w:t>
      </w:r>
    </w:p>
    <w:p w:rsidR="002C64DA" w:rsidRPr="002279E2" w:rsidRDefault="002C64DA" w:rsidP="002C64DA">
      <w:pPr>
        <w:rPr>
          <w:rFonts w:cs="Times New Roman"/>
        </w:rPr>
      </w:pPr>
      <w:r w:rsidRPr="002279E2">
        <w:rPr>
          <w:rFonts w:cs="Times New Roman"/>
        </w:rPr>
        <w:t>La disciplina contenuta nell’articolo 1, commi da 37 a 43, della legge 23 dicembre 2014, n. 190 (cd. regime “patent box”), ha richiesto sia un consistente impiego di risorse da parte dell’Amministrazione finanziaria, sia un rilevante impegno da parte dei contribuenti, in considerazione della complessità e delicatezza della materia. Il predetto impegno, in particolare, si è concentrato, a decorrere dal 2015, sulla stipula degli accordi finalizzati alla determinazione del relativo reddito agevolabile.</w:t>
      </w:r>
    </w:p>
    <w:p w:rsidR="002C64DA" w:rsidRPr="002279E2" w:rsidRDefault="002C64DA" w:rsidP="002C64DA">
      <w:pPr>
        <w:rPr>
          <w:rFonts w:cs="Times New Roman"/>
        </w:rPr>
      </w:pPr>
      <w:r w:rsidRPr="002279E2">
        <w:rPr>
          <w:rFonts w:cs="Times New Roman"/>
        </w:rPr>
        <w:lastRenderedPageBreak/>
        <w:t>I profili altamente tecnici riconducibili alle modalità di determinazione del contributo dei beni immateriali alla determinazione del reddito d’impresa agevolabile, hanno dato luogo a tempi di attesa non in linea con le esigenze di celerità e con le dinamiche degli investimenti in attività di ricerca e sviluppo effettuate dai contribuenti sui beni immateriali oggetto di sfruttamento economico.</w:t>
      </w:r>
    </w:p>
    <w:p w:rsidR="002C64DA" w:rsidRPr="002279E2" w:rsidRDefault="002C64DA" w:rsidP="002C64DA">
      <w:pPr>
        <w:rPr>
          <w:rFonts w:cs="Times New Roman"/>
        </w:rPr>
      </w:pPr>
      <w:r w:rsidRPr="002279E2">
        <w:rPr>
          <w:rFonts w:cs="Times New Roman"/>
        </w:rPr>
        <w:t xml:space="preserve">La proposta emendativa ha l’obiettivo di consentire ai contribuenti di accedere all’agevolazione mediante la determinazione diretta del beneficio, rimandando il relativo confronto alla successiva fase di controllo. </w:t>
      </w:r>
    </w:p>
    <w:p w:rsidR="002C64DA" w:rsidRPr="002279E2" w:rsidRDefault="002C64DA" w:rsidP="002C64DA">
      <w:pPr>
        <w:rPr>
          <w:rFonts w:cs="Times New Roman"/>
        </w:rPr>
      </w:pPr>
      <w:r w:rsidRPr="002279E2">
        <w:rPr>
          <w:rFonts w:cs="Times New Roman"/>
        </w:rPr>
        <w:t>Pur tuttavia, al fine di garantire le esigenze di certezza degli operatori, la proposta emendativa prevede che, in caso di rettifica del reddito escluso da imposizione,  la sanzione per infedele dichiarazione non si applica qualora, nel corso dell’accesso, ispezione, verifica o di altra attività istruttoria, il contribuente consegni all’Amministrazione finanziaria la documentazione idonea a consentire il riscontro della corretta determinazione della quota di reddito escluso, indicata in un provvedimento del direttore dell’Agenzia delle entrate, con il quale sono, altresì, definite le ulteriori disposizioni attuative del presente articolo.</w:t>
      </w:r>
    </w:p>
    <w:p w:rsidR="002C64DA" w:rsidRPr="002279E2" w:rsidRDefault="002C64DA" w:rsidP="002C64DA">
      <w:pPr>
        <w:rPr>
          <w:rFonts w:cs="Times New Roman"/>
        </w:rPr>
      </w:pPr>
      <w:r w:rsidRPr="002279E2">
        <w:rPr>
          <w:rFonts w:cs="Times New Roman"/>
        </w:rPr>
        <w:t>Tale impostazione si pone in un rapporto di coerenza con analoghi meccanismi premiali concessi ai contribuenti, laddove gli stessi si sottopongano a complessi regimi di oneri documentali che, in presenza di idoneità della documentazione, prevedono la disapplicazione delle sanzioni per infedele dichiarazione.</w:t>
      </w:r>
    </w:p>
    <w:p w:rsidR="002C64DA" w:rsidRPr="002279E2" w:rsidRDefault="002C64DA" w:rsidP="002C64DA">
      <w:pPr>
        <w:rPr>
          <w:rFonts w:cs="Times New Roman"/>
        </w:rPr>
      </w:pPr>
      <w:r w:rsidRPr="002279E2">
        <w:rPr>
          <w:rFonts w:cs="Times New Roman"/>
        </w:rPr>
        <w:t>La disciplina è alternativa, previa opzione da parte del contribuente, a quella ordinaria basata sull’accordo disciplinato dall’articolo 31-ter del D.P.R. n. 600 del 1973 e si applica, per tutti i contribuenti che intendano beneficiare dell’agevolazione, a partire dal periodo di imposta in corso alla data di entrata in vigore</w:t>
      </w:r>
      <w:r w:rsidRPr="002279E2">
        <w:rPr>
          <w:rFonts w:eastAsia="Calibri" w:cs="Times New Roman"/>
          <w:color w:val="000000"/>
        </w:rPr>
        <w:t xml:space="preserve"> </w:t>
      </w:r>
      <w:r w:rsidRPr="002279E2">
        <w:rPr>
          <w:rFonts w:cs="Times New Roman"/>
        </w:rPr>
        <w:t xml:space="preserve">del presente decreto. </w:t>
      </w:r>
    </w:p>
    <w:p w:rsidR="002C64DA" w:rsidRPr="002279E2" w:rsidRDefault="002C64DA" w:rsidP="002C64DA">
      <w:pPr>
        <w:rPr>
          <w:rFonts w:cs="Times New Roman"/>
        </w:rPr>
      </w:pPr>
      <w:r w:rsidRPr="002279E2">
        <w:rPr>
          <w:rFonts w:cs="Times New Roman"/>
        </w:rPr>
        <w:t xml:space="preserve">Tale disciplina si applica anche nel caso in cui sia in corso la procedura prevista dall’articolo 31-ter del decreto del Presidente della Repubblica 29 settembre 1973, n. 600, a condizione che non sia stato concluso il relativo accordo. In tal caso, il contribuente dovrà comunicare all’Agenzia delle entrate in maniera espressa la propria volontà di rinunciare alla procedura stessa. </w:t>
      </w:r>
    </w:p>
    <w:p w:rsidR="002C64DA" w:rsidRPr="002279E2" w:rsidRDefault="002C64DA" w:rsidP="002C64DA">
      <w:pPr>
        <w:rPr>
          <w:rFonts w:cs="Times New Roman"/>
        </w:rPr>
      </w:pPr>
      <w:r w:rsidRPr="002279E2">
        <w:rPr>
          <w:rFonts w:cs="Times New Roman"/>
        </w:rPr>
        <w:t>Il comma 5 mantiene ferma la possibilità per tutti i contribuenti che intendono accedere al regime agevolativo, in particolare per coloro per i quali non ricorre l’obbligatorietà della procedura prevista dell’articolo 31-ter del decreto del Presidente della Repubblica 29 settembre 1973, di accedere alle esimenti sanzionatorie previste nel comma 2, mediante la presentazione di una dichiarazione integrativa ai sensi dell’articolo 2, comma 8 del decreto del Presidente della Repubblica 22 luglio 1998, n. 322, nella quale deve essere data indicazione del possesso della documentazione idonea di cui al comma 1 per ciascun periodo d’imposta oggetto di integrazione. Tale facoltà, tuttavia, viene concessa, qualora la predetta dichiarazione integrativa sia presentata prima della formale conoscenza dell’inizio di qualunque attività di controllo relativa al regime previsto dai commi da 37 a 43 dell’articolo 1 della legge 23 dicembre 2014, n. 190.</w:t>
      </w:r>
    </w:p>
    <w:p w:rsidR="002C64DA" w:rsidRPr="002279E2" w:rsidRDefault="002C64DA" w:rsidP="002C64DA">
      <w:pPr>
        <w:rPr>
          <w:rFonts w:cs="Times New Roman"/>
        </w:rPr>
      </w:pPr>
      <w:r w:rsidRPr="002279E2">
        <w:rPr>
          <w:rFonts w:cs="Times New Roman"/>
        </w:rPr>
        <w:t xml:space="preserve">Sia per i soggetti che esercitano l’opzione a regime ai sensi del comma 1, sia per i soggetti che esercitano l’opzione per le annualità pregresse ai sensi del comma 4 l’agevolazione deve essere utilizzata a decorrere dalla dichiarazione delle imposte sui redditi e dell’imposta regionale sulle attività produttive relativa al periodo d’imposta nel corso del quale è esercitata la medesima opzione. </w:t>
      </w:r>
    </w:p>
    <w:p w:rsidR="002C64DA" w:rsidRPr="002279E2" w:rsidRDefault="002C64DA" w:rsidP="002C64DA">
      <w:pPr>
        <w:rPr>
          <w:rFonts w:cs="Times New Roman"/>
        </w:rPr>
      </w:pPr>
      <w:r w:rsidRPr="002279E2">
        <w:rPr>
          <w:rFonts w:cs="Times New Roman"/>
        </w:rPr>
        <w:t>In particolare, per i soggetti che esercitano l’opzione ai sensi del comma 1, la variazione in diminuzione deve essere ripartita in tre quote di pari importo da indicare nella dichiarazione relativa al periodo d’imposta nel corso del quale è esercitata l’opzione e in quelle relative ai due periodi d’imposta successivi.</w:t>
      </w:r>
    </w:p>
    <w:p w:rsidR="002C64DA" w:rsidRPr="002279E2" w:rsidRDefault="002C64DA" w:rsidP="002C64DA">
      <w:pPr>
        <w:rPr>
          <w:rFonts w:cs="Times New Roman"/>
        </w:rPr>
      </w:pPr>
      <w:r w:rsidRPr="002279E2">
        <w:rPr>
          <w:rFonts w:cs="Times New Roman"/>
        </w:rPr>
        <w:t>Per i soggetti che esercitano l’opzione ai sensi del comma 4, l’agevolazione consiste nella somma delle variazioni in diminuzione correlate ai periodi di imposta di applicazione dell’agevolazione, ovverosia a quelli compresi fra la data di presentazione dell’istanza di accordo e l’esercizio dell’opzione. Tale somma deve essere ripartita in tre quote di pari importo da indicare nella dichiarazione relativa al periodo d’imposta nel corso del quale è esercitata l’opzione e in quelle relative ai due periodi d’imposta successivi.</w:t>
      </w:r>
    </w:p>
    <w:p w:rsidR="002C64DA" w:rsidRPr="002279E2" w:rsidRDefault="002C64DA" w:rsidP="002C64DA">
      <w:pPr>
        <w:rPr>
          <w:rFonts w:cs="Times New Roman"/>
        </w:rPr>
      </w:pPr>
      <w:r w:rsidRPr="002279E2">
        <w:rPr>
          <w:rFonts w:cs="Times New Roman"/>
        </w:rPr>
        <w:t>Resta ferma l’ordinaria modalità di fruizione del beneficio per coloro per i quali non ricorre l’obbligatorietà della procedura prevista dell’articolo 31-ter del decreto del Presidente della Repubblica 29 settembre 1973, n. 600.</w:t>
      </w:r>
    </w:p>
    <w:p w:rsidR="002C64DA" w:rsidRPr="002279E2" w:rsidRDefault="002C64DA" w:rsidP="002C64DA">
      <w:pPr>
        <w:rPr>
          <w:rFonts w:cs="Times New Roman"/>
        </w:rPr>
      </w:pPr>
    </w:p>
    <w:p w:rsidR="002C64DA" w:rsidRPr="002279E2" w:rsidRDefault="002C64DA" w:rsidP="002C64DA">
      <w:pPr>
        <w:jc w:val="center"/>
        <w:rPr>
          <w:rFonts w:cs="Times New Roman"/>
          <w:b/>
        </w:rPr>
      </w:pPr>
      <w:r w:rsidRPr="002279E2">
        <w:rPr>
          <w:rFonts w:cs="Times New Roman"/>
          <w:b/>
        </w:rPr>
        <w:t>Relazione tecnica</w:t>
      </w:r>
    </w:p>
    <w:p w:rsidR="002C64DA" w:rsidRPr="002279E2" w:rsidRDefault="002C64DA" w:rsidP="002C64DA">
      <w:pPr>
        <w:rPr>
          <w:rFonts w:cs="Times New Roman"/>
        </w:rPr>
      </w:pPr>
      <w:r w:rsidRPr="002279E2">
        <w:rPr>
          <w:rFonts w:cs="Times New Roman"/>
        </w:rPr>
        <w:t xml:space="preserve">Ai fini di semplificare le procedure di fruizione dell’agevolazione </w:t>
      </w:r>
      <w:r w:rsidRPr="002279E2">
        <w:rPr>
          <w:rFonts w:cs="Times New Roman"/>
          <w:i/>
        </w:rPr>
        <w:t xml:space="preserve">Patent Box </w:t>
      </w:r>
      <w:r w:rsidRPr="002279E2">
        <w:rPr>
          <w:rFonts w:cs="Times New Roman"/>
        </w:rPr>
        <w:t xml:space="preserve">e di ridurre in misura significativa i costi di </w:t>
      </w:r>
      <w:r w:rsidRPr="002279E2">
        <w:rPr>
          <w:rFonts w:cs="Times New Roman"/>
          <w:i/>
        </w:rPr>
        <w:t>compliance</w:t>
      </w:r>
      <w:r w:rsidRPr="002279E2">
        <w:rPr>
          <w:rFonts w:cs="Times New Roman"/>
        </w:rPr>
        <w:t xml:space="preserve"> per i contribuenti e l’Amministrazione Finanziaria, la disposizione in esame introduce la possibilità per i contribuenti di beneficiare dell’agevolazione direttamente in dichiarazione, sostituendo l’attuale procedura che prevede, invece, in determinati casi, la presentazione di un’apposita istanza all’Agenzia delle Entrate e un successivo confronto con l’Amministrazione Finanziaria sulla determinazione dell’ammontare dell’agevolazione (procedura di </w:t>
      </w:r>
      <w:r w:rsidRPr="002279E2">
        <w:rPr>
          <w:rFonts w:cs="Times New Roman"/>
          <w:i/>
        </w:rPr>
        <w:t>ruling</w:t>
      </w:r>
      <w:r w:rsidRPr="002279E2">
        <w:rPr>
          <w:rFonts w:cs="Times New Roman"/>
        </w:rPr>
        <w:t xml:space="preserve">).   </w:t>
      </w:r>
    </w:p>
    <w:p w:rsidR="002C64DA" w:rsidRPr="002279E2" w:rsidRDefault="002C64DA" w:rsidP="002C64DA">
      <w:pPr>
        <w:rPr>
          <w:rFonts w:cs="Times New Roman"/>
        </w:rPr>
      </w:pPr>
      <w:r w:rsidRPr="002279E2">
        <w:rPr>
          <w:rFonts w:cs="Times New Roman"/>
        </w:rPr>
        <w:lastRenderedPageBreak/>
        <w:t xml:space="preserve">La disposizione proposta, prevedendo la fruizione dell’agevolazione da parte dei contribuenti direttamente in dichiarazione e nell’arco arco temporale di tre esercizi determina effetti finanziari correlati alla diversa tempistica della fruizione dell’agevolazione. </w:t>
      </w:r>
    </w:p>
    <w:p w:rsidR="002C64DA" w:rsidRPr="002279E2" w:rsidRDefault="002C64DA" w:rsidP="002C64DA">
      <w:pPr>
        <w:rPr>
          <w:rFonts w:cs="Times New Roman"/>
        </w:rPr>
      </w:pPr>
      <w:r w:rsidRPr="002279E2">
        <w:rPr>
          <w:rFonts w:cs="Times New Roman"/>
        </w:rPr>
        <w:t>Secondo la tempistica vigente per le istanze già presentate dai contribuenti per gli anni 2015-2018, la fruizione dell’agevolazione sarebbe avvenuta gradualmente negli anni 2019-2022, sulla base della conclusione degli accordi in corso. A regime la fruizione avverrebbe con un lasso temporale medio di tre anni rispetto all’annualità di riferimento.</w:t>
      </w:r>
    </w:p>
    <w:p w:rsidR="002C64DA" w:rsidRPr="002279E2" w:rsidRDefault="002C64DA" w:rsidP="002C64DA">
      <w:pPr>
        <w:rPr>
          <w:rFonts w:cs="Times New Roman"/>
        </w:rPr>
      </w:pPr>
      <w:r w:rsidRPr="002279E2">
        <w:rPr>
          <w:rFonts w:cs="Times New Roman"/>
        </w:rPr>
        <w:t xml:space="preserve">La disposizione proposta, prevedendo la fruizione dell’agevolazione da parte dei contribuenti direttamente in dichiarazione e nell’arco arco temporale di tre esercizi non determina effetti finanziari, in considerazione della sostanziale coincidenza della tempistica di erogazione del beneficio già prevista a legislazione vigente i cui effetti sono pertanto già scontati nei saldi di finanza pubblica. </w:t>
      </w:r>
    </w:p>
    <w:p w:rsidR="002C64DA" w:rsidRPr="002279E2" w:rsidRDefault="002C64DA" w:rsidP="002C64DA">
      <w:pPr>
        <w:rPr>
          <w:rFonts w:cs="Times New Roman"/>
        </w:rPr>
      </w:pPr>
      <w:r w:rsidRPr="002279E2">
        <w:rPr>
          <w:rFonts w:cs="Times New Roman"/>
        </w:rPr>
        <w:t xml:space="preserve">Per quanto riguarda le agevolazioni </w:t>
      </w:r>
      <w:r w:rsidRPr="002279E2">
        <w:rPr>
          <w:rFonts w:cs="Times New Roman"/>
          <w:i/>
        </w:rPr>
        <w:t>patent box</w:t>
      </w:r>
      <w:r w:rsidRPr="002279E2">
        <w:rPr>
          <w:rFonts w:cs="Times New Roman"/>
        </w:rPr>
        <w:t xml:space="preserve"> relative alle annualità successive, la misura comporta un recupero in termini di cassa, prudenzialmente non stimato, in considerazione della circostanza che, per effetto dell’accelerazione progressiva che sarebbe stata impressa alle procedure di </w:t>
      </w:r>
      <w:r w:rsidRPr="002279E2">
        <w:rPr>
          <w:rFonts w:cs="Times New Roman"/>
          <w:i/>
        </w:rPr>
        <w:t>ruling</w:t>
      </w:r>
      <w:r w:rsidRPr="002279E2">
        <w:rPr>
          <w:rFonts w:cs="Times New Roman"/>
        </w:rPr>
        <w:t xml:space="preserve"> a regime, l’esame delle istanze si sarebbe concluso entro l’esercizio successivo a quello di presentazione.  </w:t>
      </w:r>
    </w:p>
    <w:p w:rsidR="002C64DA" w:rsidRPr="002279E2" w:rsidRDefault="002C64DA" w:rsidP="002C64DA">
      <w:pPr>
        <w:rPr>
          <w:rFonts w:cs="Times New Roman"/>
        </w:rPr>
      </w:pPr>
      <w:r w:rsidRPr="002279E2">
        <w:rPr>
          <w:rFonts w:cs="Times New Roman"/>
        </w:rPr>
        <w:t xml:space="preserve">Va segnalato, infine, che la nuova procedura di fruizione dell’agevolazione, oltre a ridurre significativamente i costi di </w:t>
      </w:r>
      <w:r w:rsidRPr="002279E2">
        <w:rPr>
          <w:rFonts w:cs="Times New Roman"/>
          <w:i/>
        </w:rPr>
        <w:t xml:space="preserve">compliance </w:t>
      </w:r>
      <w:r w:rsidRPr="002279E2">
        <w:rPr>
          <w:rFonts w:cs="Times New Roman"/>
        </w:rPr>
        <w:t xml:space="preserve">per i contribuenti e per l’Amministrazione, prevede, ai fini di evitare fruizioni indebite, efficaci sistemi di controllo e sistemi sanzionatori nel caso di comportamenti irregolari.  </w:t>
      </w:r>
    </w:p>
    <w:p w:rsidR="007E4FDC" w:rsidRPr="002279E2" w:rsidRDefault="007E4FDC" w:rsidP="00612935">
      <w:pPr>
        <w:rPr>
          <w:rFonts w:cs="Times New Roman"/>
          <w:lang w:eastAsia="it-IT"/>
        </w:rPr>
      </w:pPr>
    </w:p>
    <w:p w:rsidR="007E4FDC" w:rsidRPr="002279E2" w:rsidRDefault="007E4FDC" w:rsidP="005E06C3">
      <w:pPr>
        <w:pStyle w:val="Titolo2"/>
      </w:pPr>
      <w:bookmarkStart w:id="14" w:name="_Toc4423340"/>
      <w:bookmarkStart w:id="15" w:name="_Toc6937333"/>
      <w:r w:rsidRPr="002279E2">
        <w:t xml:space="preserve">Articolo </w:t>
      </w:r>
      <w:r w:rsidR="00B30DBD" w:rsidRPr="002279E2">
        <w:t>5</w:t>
      </w:r>
      <w:r w:rsidRPr="002279E2">
        <w:br/>
        <w:t>(Rientro dei cervelli)</w:t>
      </w:r>
      <w:bookmarkEnd w:id="14"/>
      <w:bookmarkEnd w:id="15"/>
    </w:p>
    <w:p w:rsidR="00F52EFF" w:rsidRPr="002279E2" w:rsidRDefault="00F52EFF" w:rsidP="00F52EFF">
      <w:pPr>
        <w:rPr>
          <w:rFonts w:cs="Times New Roman"/>
        </w:rPr>
      </w:pPr>
      <w:r w:rsidRPr="002279E2">
        <w:rPr>
          <w:rFonts w:cs="Times New Roman"/>
        </w:rPr>
        <w:t xml:space="preserve">1. All’articolo 16 del decreto legislativo 14 settembre 2015, n. 147, sono apportate le seguenti modificazioni: </w:t>
      </w:r>
    </w:p>
    <w:p w:rsidR="00F52EFF" w:rsidRPr="002279E2" w:rsidRDefault="00F52EFF" w:rsidP="00F52EFF">
      <w:pPr>
        <w:rPr>
          <w:rFonts w:cs="Times New Roman"/>
        </w:rPr>
      </w:pPr>
      <w:r w:rsidRPr="002279E2">
        <w:rPr>
          <w:rFonts w:cs="Times New Roman"/>
        </w:rPr>
        <w:t xml:space="preserve">a) il comma 1 è sostituito dal seguente: </w:t>
      </w:r>
    </w:p>
    <w:p w:rsidR="00F52EFF" w:rsidRPr="002279E2" w:rsidRDefault="00F52EFF" w:rsidP="00F52EFF">
      <w:pPr>
        <w:rPr>
          <w:rFonts w:cs="Times New Roman"/>
        </w:rPr>
      </w:pPr>
      <w:r w:rsidRPr="002279E2">
        <w:rPr>
          <w:rFonts w:cs="Times New Roman"/>
        </w:rPr>
        <w:t xml:space="preserve">“1. I redditi di lavoro dipendente, i redditi assimilati a quelli di lavoro dipendente e i redditi di lavoro autonomo prodotti in Italia da lavoratori che trasferiscono la residenza nel territorio dello Stato ai sensi dell’articolo 2 del testo unico delle imposte sui redditi, approvato con decreto del Presidente della Repubblica 22 dicembre 1986, n. 917, concorrono alla formazione del reddito complessivo limitatamente al trenta per cento del loro ammontare al ricorrere delle seguenti condizioni: </w:t>
      </w:r>
    </w:p>
    <w:p w:rsidR="00F52EFF" w:rsidRPr="002279E2" w:rsidRDefault="00F52EFF" w:rsidP="00F52EFF">
      <w:pPr>
        <w:ind w:left="624"/>
        <w:rPr>
          <w:rFonts w:cs="Times New Roman"/>
        </w:rPr>
      </w:pPr>
      <w:r w:rsidRPr="002279E2">
        <w:rPr>
          <w:rFonts w:cs="Times New Roman"/>
        </w:rPr>
        <w:t>a) i lavoratori non sono stati residenti in Italia nei due periodi d’imposta precedenti il predetto trasferimento e si impegnano a risiedere in Italia per almeno due anni;</w:t>
      </w:r>
    </w:p>
    <w:p w:rsidR="00F52EFF" w:rsidRPr="002279E2" w:rsidRDefault="00F52EFF" w:rsidP="00F52EFF">
      <w:pPr>
        <w:ind w:left="624"/>
        <w:rPr>
          <w:rFonts w:cs="Times New Roman"/>
        </w:rPr>
      </w:pPr>
      <w:r w:rsidRPr="002279E2">
        <w:rPr>
          <w:rFonts w:cs="Times New Roman"/>
        </w:rPr>
        <w:t>b) l’attività lavorativa è prestata prevalentemente nel territorio italiano. ”;</w:t>
      </w:r>
    </w:p>
    <w:p w:rsidR="00F52EFF" w:rsidRPr="002279E2" w:rsidRDefault="00F52EFF" w:rsidP="00F52EFF">
      <w:pPr>
        <w:rPr>
          <w:rFonts w:cs="Times New Roman"/>
        </w:rPr>
      </w:pPr>
      <w:r w:rsidRPr="002279E2">
        <w:rPr>
          <w:rFonts w:cs="Times New Roman"/>
        </w:rPr>
        <w:t>b) il comma 1-</w:t>
      </w:r>
      <w:r w:rsidRPr="002279E2">
        <w:rPr>
          <w:rFonts w:cs="Times New Roman"/>
          <w:i/>
          <w:color w:val="auto"/>
        </w:rPr>
        <w:t>bis</w:t>
      </w:r>
      <w:r w:rsidRPr="002279E2">
        <w:rPr>
          <w:rFonts w:cs="Times New Roman"/>
          <w:color w:val="auto"/>
        </w:rPr>
        <w:t xml:space="preserve"> è sostituito dal seguente:</w:t>
      </w:r>
    </w:p>
    <w:p w:rsidR="00F52EFF" w:rsidRPr="002279E2" w:rsidRDefault="00F52EFF" w:rsidP="00F52EFF">
      <w:pPr>
        <w:rPr>
          <w:rFonts w:cs="Times New Roman"/>
        </w:rPr>
      </w:pPr>
      <w:r w:rsidRPr="002279E2">
        <w:rPr>
          <w:rFonts w:cs="Times New Roman"/>
        </w:rPr>
        <w:t>“1-</w:t>
      </w:r>
      <w:r w:rsidRPr="002279E2">
        <w:rPr>
          <w:rFonts w:cs="Times New Roman"/>
          <w:i/>
        </w:rPr>
        <w:t>bis</w:t>
      </w:r>
      <w:r w:rsidRPr="002279E2">
        <w:rPr>
          <w:rFonts w:cs="Times New Roman"/>
        </w:rPr>
        <w:t>. Il regime di cui al comma 1 si applica anche ai redditi d’impresa prodotti dai soggetti identificati dal comma 1 o dal comma 2 che avviano un’attività d’impresa in Italia, a partire dal periodo d’imposta successivo a quello in corso al 31 dicembre 2019.”;</w:t>
      </w:r>
    </w:p>
    <w:p w:rsidR="00F52EFF" w:rsidRPr="002279E2" w:rsidRDefault="00F52EFF" w:rsidP="00F52EFF">
      <w:pPr>
        <w:rPr>
          <w:rFonts w:cs="Times New Roman"/>
        </w:rPr>
      </w:pPr>
      <w:r w:rsidRPr="002279E2">
        <w:rPr>
          <w:rFonts w:cs="Times New Roman"/>
        </w:rPr>
        <w:t>c) dopo il comma 3 è aggiunto il seguente:</w:t>
      </w:r>
    </w:p>
    <w:p w:rsidR="00F52EFF" w:rsidRPr="002279E2" w:rsidRDefault="00F52EFF" w:rsidP="00F52EFF">
      <w:pPr>
        <w:rPr>
          <w:rFonts w:cs="Times New Roman"/>
          <w:dstrike/>
        </w:rPr>
      </w:pPr>
      <w:r w:rsidRPr="002279E2">
        <w:rPr>
          <w:rFonts w:cs="Times New Roman"/>
        </w:rPr>
        <w:t>“3-bis. Le disposizioni del presente articolo si applicano per ulteriori cinque periodi di imposta ai lavoratori con almeno un figlio minorenne o a carico, anche in affido preadottivo. Le disposizioni del presente articolo si applicano per ulteriori cinque periodi di imposta anche nel caso in cui i lavoratori diventino proprietari di almeno un’unità immobiliare di tipo residenziale in Italia, successivamente al trasferimento in Italia o nei dodici mesi precedenti al trasferimento; l’unità immobiliare può essere acquistata direttamente dal lavoratore oppure dal coniuge, dal convivente o dai figli, anche in comproprietà. In entrambi i casi, i redditi di cui al comma 1, negli ulteriori cinque periodi di imposta, concorrono alla formazione del reddito complessivo limitatamente al cinquanta per cento del loro ammontare. Per i lavoratori che abbiano almeno tre figli minorenni o a carico, anche in affido preadottivo, i redditi di cui al comma 1, negli ulteriori cinque periodi di imposta, concorrono alla formazione del reddito complessivo limitatamente al dieci per cento del loro ammontare.”;</w:t>
      </w:r>
    </w:p>
    <w:p w:rsidR="00F52EFF" w:rsidRPr="002279E2" w:rsidRDefault="00F52EFF" w:rsidP="00F52EFF">
      <w:pPr>
        <w:rPr>
          <w:rFonts w:cs="Times New Roman"/>
        </w:rPr>
      </w:pPr>
      <w:r w:rsidRPr="002279E2">
        <w:rPr>
          <w:rFonts w:cs="Times New Roman"/>
        </w:rPr>
        <w:t>d) dopo il comma 5 è aggiunto il seguente:</w:t>
      </w:r>
    </w:p>
    <w:p w:rsidR="00F52EFF" w:rsidRPr="002279E2" w:rsidRDefault="00F52EFF" w:rsidP="00F52EFF">
      <w:pPr>
        <w:rPr>
          <w:rFonts w:cs="Times New Roman"/>
        </w:rPr>
      </w:pPr>
      <w:r w:rsidRPr="002279E2">
        <w:rPr>
          <w:rFonts w:cs="Times New Roman"/>
        </w:rPr>
        <w:t>“5-bis. La percentuale di cui al comma 1 è ridotta al dieci per cento per i soggetti che trasferiscono la residenza in una delle seguenti regioni: Abruzzo, Molise, Campania, Puglia, Basilicata, Calabria, Sardegna, Sicilia.”;</w:t>
      </w:r>
    </w:p>
    <w:p w:rsidR="00F52EFF" w:rsidRPr="002279E2" w:rsidRDefault="00F52EFF" w:rsidP="00F52EFF">
      <w:pPr>
        <w:rPr>
          <w:rFonts w:cs="Times New Roman"/>
        </w:rPr>
      </w:pPr>
      <w:r w:rsidRPr="002279E2">
        <w:rPr>
          <w:rFonts w:cs="Times New Roman"/>
        </w:rPr>
        <w:t xml:space="preserve">e) è aggiunto, in fine, il seguente comma: </w:t>
      </w:r>
    </w:p>
    <w:p w:rsidR="00F52EFF" w:rsidRPr="002279E2" w:rsidRDefault="00F52EFF" w:rsidP="00F52EFF">
      <w:pPr>
        <w:rPr>
          <w:rFonts w:cs="Times New Roman"/>
        </w:rPr>
      </w:pPr>
      <w:r w:rsidRPr="002279E2">
        <w:rPr>
          <w:rFonts w:cs="Times New Roman"/>
        </w:rPr>
        <w:t xml:space="preserve">“6. I cittadini italiani non iscritti all’AIRE (Anagrafe degli italiani residenti all’estero) rientrati in Italia a decorrere dal periodo d’imposta successivo a quello in corso al 31 dicembre 2019 possono accedere ai benefici fiscali di cui al presente articolo purché abbiano avuto la residenza in un altro Stato ai sensi di una </w:t>
      </w:r>
      <w:r w:rsidRPr="002279E2">
        <w:rPr>
          <w:rFonts w:cs="Times New Roman"/>
        </w:rPr>
        <w:lastRenderedPageBreak/>
        <w:t>convenzione contro le doppie imposizioni sui redditi per il periodo di cui al comma 1, lettera a). Con riferimento ai periodi d’imposta per i quali siano stati notificati atti impositivi ancora impugnabili ovvero oggetto di controversie pendenti in ogni stato e grado del giudizio nonché per i periodi d’imposta per i quali non sono decorsi i termini di cui all’articolo 43 del decreto del Presidente della Repubblica 29 settembre 1973, n. 600, ai cittadini italiani non iscritti all’AIRE rientrati in Italia entro il 31 dicembre 2019 spettano i benefici fiscali di cui al presente articolo nel testo vigente al 31 dicembre 2018 purché abbiano avuto la residenza in un altro Stato ai sensi di una convenzione contro le doppie imposizioni sui redditi per il periodo di cui al, comma 1, lettera a).  Non si fa luogo, in ogni caso, al rimborso delle imposte versate in adempimento spontaneo.”</w:t>
      </w:r>
    </w:p>
    <w:p w:rsidR="00F52EFF" w:rsidRPr="002279E2" w:rsidRDefault="00F52EFF" w:rsidP="00F52EFF">
      <w:pPr>
        <w:rPr>
          <w:rFonts w:cs="Times New Roman"/>
        </w:rPr>
      </w:pPr>
      <w:r w:rsidRPr="002279E2">
        <w:rPr>
          <w:rFonts w:cs="Times New Roman"/>
        </w:rPr>
        <w:t>2.  Le disposizioni di cui al comma 1, lettere a), b), c), e d) si applicano ai soggetti che trasferiscono la residenza in Italia ai sensi dell’articolo 2 del testo unico delle imposte sui redditi di cui al decreto del Presidente della Repubblica 22 dicembre 1986, n. 917 a partire dal periodo d’imposta successivo a quello in corso alla data di entrata in vigore del presente decreto.</w:t>
      </w:r>
    </w:p>
    <w:p w:rsidR="00F52EFF" w:rsidRPr="002279E2" w:rsidRDefault="00F52EFF" w:rsidP="00F52EFF">
      <w:pPr>
        <w:rPr>
          <w:rFonts w:cs="Times New Roman"/>
        </w:rPr>
      </w:pPr>
      <w:r w:rsidRPr="002279E2">
        <w:rPr>
          <w:rFonts w:cs="Times New Roman"/>
        </w:rPr>
        <w:t xml:space="preserve">3. All’articolo 8-bis del decreto-legge 16 ottobre 2017, n. 148, convertito, con modificazioni, dalla legge 4 dicembre 2017, n. 172, il comma 2 è sostituito dal seguente: </w:t>
      </w:r>
    </w:p>
    <w:p w:rsidR="00F52EFF" w:rsidRPr="002279E2" w:rsidRDefault="00F52EFF" w:rsidP="00F52EFF">
      <w:pPr>
        <w:rPr>
          <w:rFonts w:cs="Times New Roman"/>
        </w:rPr>
      </w:pPr>
      <w:r w:rsidRPr="002279E2">
        <w:rPr>
          <w:rFonts w:cs="Times New Roman"/>
        </w:rPr>
        <w:t>“2. Le disposizioni contenute nell’articolo 44 del decreto legge 31 maggio 2010, n. 78, convertito, con modificazioni, dalla legge 30 luglio 2010, n. 122, e nell’articolo 16 del decreto legislativo 14 settembre 2015, n. 147, si applicano nel rispetto delle condizioni e dei limiti del regolamento (UE) n. 1407/2013 della Commissione, del 18 dicembre 2013, relativo all’applicazione degli articoli 107 e 108 del Trattato sul funzionamento dell’Unione Europea agli aiuti “de minimis”, del regolamento (UE) n. 1408/2013 della Commissione, del 18 dicembre 2013, relativo all’applicazione degli articoli 107 e 108 del Trattato sul funzionamento dell’Unione Europea agli aiuti “de minimis” nel settore agricolo, e del regolamento (UE) n. 717/2014 della Commissione, del 27 giugno 2014, relativo all’applicazione degli articoli 107 e 108 del Trattato sul funzionamento dell’Unione Europea agli aiuti “de minimis” nel settore della pesca e dell’acquacoltura."</w:t>
      </w:r>
    </w:p>
    <w:p w:rsidR="00F52EFF" w:rsidRPr="002279E2" w:rsidRDefault="00F52EFF" w:rsidP="00F52EFF">
      <w:pPr>
        <w:rPr>
          <w:rFonts w:cs="Times New Roman"/>
        </w:rPr>
      </w:pPr>
      <w:r w:rsidRPr="002279E2">
        <w:rPr>
          <w:rFonts w:cs="Times New Roman"/>
        </w:rPr>
        <w:t xml:space="preserve">4. All’articolo 44 del decreto legge 31 maggio 2010, n. 78, convertito, con modificazioni, dalla legge 30 luglio 2010, n. 122, sono apportate le seguenti modificazioni: </w:t>
      </w:r>
    </w:p>
    <w:p w:rsidR="00F52EFF" w:rsidRPr="002279E2" w:rsidRDefault="00F52EFF" w:rsidP="00F52EFF">
      <w:pPr>
        <w:rPr>
          <w:rFonts w:cs="Times New Roman"/>
        </w:rPr>
      </w:pPr>
      <w:r w:rsidRPr="002279E2">
        <w:rPr>
          <w:rFonts w:cs="Times New Roman"/>
        </w:rPr>
        <w:t>a) al comma 3, le parole: “</w:t>
      </w:r>
      <w:r w:rsidRPr="002279E2">
        <w:rPr>
          <w:rFonts w:cs="Times New Roman"/>
          <w:i/>
        </w:rPr>
        <w:t>nei tre periodi d’imposta successivi</w:t>
      </w:r>
      <w:r w:rsidRPr="002279E2">
        <w:rPr>
          <w:rFonts w:cs="Times New Roman"/>
        </w:rPr>
        <w:t>” sono sostituite dalle seguenti: “</w:t>
      </w:r>
      <w:r w:rsidRPr="002279E2">
        <w:rPr>
          <w:rFonts w:cs="Times New Roman"/>
          <w:i/>
        </w:rPr>
        <w:t>nei cinque periodi d’imposta successivi</w:t>
      </w:r>
      <w:r w:rsidRPr="002279E2">
        <w:rPr>
          <w:rFonts w:cs="Times New Roman"/>
        </w:rPr>
        <w:t xml:space="preserve">”; </w:t>
      </w:r>
    </w:p>
    <w:p w:rsidR="00F52EFF" w:rsidRPr="002279E2" w:rsidRDefault="00F52EFF" w:rsidP="00F52EFF">
      <w:pPr>
        <w:rPr>
          <w:rFonts w:cs="Times New Roman"/>
        </w:rPr>
      </w:pPr>
      <w:r w:rsidRPr="002279E2">
        <w:rPr>
          <w:rFonts w:cs="Times New Roman"/>
        </w:rPr>
        <w:t>b) dopo il comma 3 aggiungere il seguente:</w:t>
      </w:r>
    </w:p>
    <w:p w:rsidR="00F52EFF" w:rsidRPr="002279E2" w:rsidRDefault="00F52EFF" w:rsidP="00F52EFF">
      <w:pPr>
        <w:rPr>
          <w:rFonts w:cs="Times New Roman"/>
        </w:rPr>
      </w:pPr>
      <w:r w:rsidRPr="002279E2">
        <w:rPr>
          <w:rFonts w:cs="Times New Roman"/>
        </w:rPr>
        <w:t>“3-bis. Le disposizioni di cui ai commi 1 e 2 si applicano nel periodo d’imposta in cui il ricercatore o docente trasferisce la residenza ai sensi dell’articolo 2 del testo unico delle imposte sui redditi di cui al decreto del Presidente della Repubblica 22 dicembre 1986, n. 917 (TUIR) nel territorio dello Stato e nei sette periodi d’imposta successivi, sempre che permanga la residenza fiscale in Italia, nel caso di docenti o ricercatori con un figlio minorenne o a carico, anche in affido preadottivo e nel caso di docenti e ricercatori che diventino proprietari di almeno un’unità immobiliare di tipo residenziale in Italia, successivamente al trasferimento in Italia della residenza ai sensi dell’articolo 2 del TUIR o nei dodici mesi precedenti al trasferimento; l’unità immobiliare può essere acquistata direttamente dal docente e ricercatore oppure dal coniuge, dal convivente o dai figli, anche in comproprietà. Per i docenti e ricercatori che abbiano almeno due figli minorenni o a carico, anche in affido preadottivo, le disposizioni di cui ai commi 1 e 2 si applicano nel periodo d’imposta in cui il ricercatore o docente diviene residente, ai sensi dell’articolo 2 del TUIR, nel territorio dello Stato e nei dieci periodi d’imposta successivi, sempre che permanga la residenza fiscale nel territorio dello Stato. Per i docenti o ricercatori che abbiano almeno tre figli minorenni o a carico, anche in affido preadottivo, le disposizioni di cui ai commi 1 e 2 si applicano nel periodo d’imposta in cui il ricercatore o docente diviene residente, ai sensi dell’articolo 2 del TUIR, nel territorio dello Stato e nei dodici periodi d’imposta successivi, sempre che permanga la residenza fiscale nel territorio dello Stato.”;</w:t>
      </w:r>
    </w:p>
    <w:p w:rsidR="00F52EFF" w:rsidRPr="002279E2" w:rsidRDefault="00F52EFF" w:rsidP="00F52EFF">
      <w:pPr>
        <w:rPr>
          <w:rFonts w:cs="Times New Roman"/>
        </w:rPr>
      </w:pPr>
      <w:r w:rsidRPr="002279E2">
        <w:rPr>
          <w:rFonts w:cs="Times New Roman"/>
        </w:rPr>
        <w:t xml:space="preserve">c) è aggiunto il seguente comma: </w:t>
      </w:r>
    </w:p>
    <w:p w:rsidR="00F52EFF" w:rsidRPr="002279E2" w:rsidRDefault="00F52EFF" w:rsidP="00F52EFF">
      <w:pPr>
        <w:rPr>
          <w:rFonts w:cs="Times New Roman"/>
        </w:rPr>
      </w:pPr>
      <w:r w:rsidRPr="002279E2">
        <w:rPr>
          <w:rFonts w:cs="Times New Roman"/>
        </w:rPr>
        <w:t>“4. I docenti o ricercatori italiani non iscritti all’AIRE (Anagrafe degli italiani residenti all’estero)</w:t>
      </w:r>
      <w:r w:rsidRPr="002279E2">
        <w:rPr>
          <w:rFonts w:cs="Times New Roman"/>
          <w:color w:val="FF0000"/>
        </w:rPr>
        <w:t xml:space="preserve"> </w:t>
      </w:r>
      <w:r w:rsidRPr="002279E2">
        <w:rPr>
          <w:rFonts w:cs="Times New Roman"/>
        </w:rPr>
        <w:t xml:space="preserve">rientrati in Italia a decorrere dal periodo d’imposta successivo a quello in corso al 31 dicembre 2019 possono accedere ai benefici fiscali di cui al presente articolo purché abbiano avuto la residenza in un altro Stato ai sensi di una convenzione contro le doppie imposizioni sui redditi per il periodo di cui all’articolo 16, comma 1, lettera a), del decreto legislativo 14 settembre 2015, n. 147. Con riferimento ai periodi d’imposta per i quali siano stati notificati atti impositivi ancora impugnabili ovvero oggetto di controversie pendenti in ogni stato e grado del giudizio nonché per i periodi d’imposta per i quali non sono decorsi i termini di cui all’articolo 43 del decreto del Presidente della Repubblica 29 settembre 1973, n. 600, ai docenti e ricercatori italiani non iscritti all’AIRE rientrati in Italia entro il 31 dicembre 2019 spettano i benefici fiscali di cui al presente articolo nel testo vigente al 31 dicembre 2018, purché abbiano avuto la residenza in un altro Stato ai sensi di una convenzione </w:t>
      </w:r>
      <w:r w:rsidRPr="002279E2">
        <w:rPr>
          <w:rFonts w:cs="Times New Roman"/>
        </w:rPr>
        <w:lastRenderedPageBreak/>
        <w:t>contro le doppie imposizioni sui redditi per il periodo di cui all’articolo 16, comma 1, lettera a), del decreto legislativo 14 settembre 2015, n. 147.  Non si fa luogo, in ogni caso, al rimborso delle imposte versate in adempimento spontaneo.”</w:t>
      </w:r>
    </w:p>
    <w:p w:rsidR="00F52EFF" w:rsidRPr="002279E2" w:rsidRDefault="00F52EFF" w:rsidP="00F52EFF">
      <w:pPr>
        <w:rPr>
          <w:rFonts w:cs="Times New Roman"/>
        </w:rPr>
      </w:pPr>
      <w:r w:rsidRPr="002279E2">
        <w:rPr>
          <w:rFonts w:cs="Times New Roman"/>
        </w:rPr>
        <w:t>5. Le disposizioni di cui al comma 4, lettere a) e b), si applicano ai soggetti che trasferiscono la residenza in Italia ai sensi dell’articolo 2 del testo unico delle imposte sui redditi di cui al decreto del Presidente della Repubblica 22 dicembre 1986, n. 917 a partire dal periodo d’imposta successivo a quello in corso alla data di entrata in vigore del presente decreto.».</w:t>
      </w:r>
    </w:p>
    <w:p w:rsidR="00F52EFF" w:rsidRPr="002279E2" w:rsidRDefault="00F52EFF" w:rsidP="00F52EFF">
      <w:pPr>
        <w:rPr>
          <w:rFonts w:cs="Times New Roman"/>
          <w:dstrike/>
        </w:rPr>
      </w:pPr>
    </w:p>
    <w:p w:rsidR="00F52EFF" w:rsidRPr="002279E2" w:rsidRDefault="00F52EFF" w:rsidP="00F52EFF">
      <w:pPr>
        <w:jc w:val="center"/>
        <w:rPr>
          <w:rFonts w:eastAsia="SimSun" w:cs="Times New Roman"/>
          <w:b/>
          <w:bCs/>
          <w:iCs/>
          <w:kern w:val="32"/>
          <w:lang w:eastAsia="zh-CN"/>
        </w:rPr>
      </w:pPr>
      <w:r w:rsidRPr="002279E2">
        <w:rPr>
          <w:rFonts w:eastAsia="SimSun" w:cs="Times New Roman"/>
          <w:b/>
          <w:bCs/>
          <w:iCs/>
          <w:kern w:val="32"/>
          <w:lang w:eastAsia="zh-CN"/>
        </w:rPr>
        <w:t>Relazione illustrativa</w:t>
      </w:r>
    </w:p>
    <w:p w:rsidR="00F52EFF" w:rsidRPr="002279E2" w:rsidRDefault="00F52EFF" w:rsidP="00F52EFF">
      <w:pPr>
        <w:rPr>
          <w:rFonts w:eastAsia="SimSun" w:cs="Times New Roman"/>
          <w:bCs/>
          <w:iCs/>
          <w:kern w:val="32"/>
          <w:lang w:eastAsia="zh-CN"/>
        </w:rPr>
      </w:pPr>
      <w:r w:rsidRPr="002279E2">
        <w:rPr>
          <w:rFonts w:eastAsia="SimSun" w:cs="Times New Roman"/>
          <w:bCs/>
          <w:iCs/>
          <w:kern w:val="32"/>
          <w:lang w:eastAsia="zh-CN"/>
        </w:rPr>
        <w:t>La norma apporta significative modifiche al regime degli impatriati di cui all’articolo 16 del d.lgs. n. 147 del 2015 nonché al regime del rientro dei cervelli di cui all’articolo 44 del d.l. n. 78 del 2010.</w:t>
      </w:r>
    </w:p>
    <w:p w:rsidR="00F52EFF" w:rsidRPr="002279E2" w:rsidRDefault="00F52EFF" w:rsidP="00F52EFF">
      <w:pPr>
        <w:rPr>
          <w:rFonts w:eastAsia="SimSun" w:cs="Times New Roman"/>
          <w:bCs/>
          <w:iCs/>
          <w:kern w:val="32"/>
          <w:lang w:eastAsia="zh-CN"/>
        </w:rPr>
      </w:pPr>
      <w:r w:rsidRPr="002279E2">
        <w:rPr>
          <w:rFonts w:eastAsia="SimSun" w:cs="Times New Roman"/>
          <w:bCs/>
          <w:iCs/>
          <w:kern w:val="32"/>
          <w:lang w:eastAsia="zh-CN"/>
        </w:rPr>
        <w:t>In particolare, nei commi 1 e 2, per quanto riguarda gli impatriati e con riferimento ai soggetti che trasferiscono la residenza in Italia a partire dal periodo d’imposta successivo a quello in corso alla data di entrata in vigore del presente decreto:</w:t>
      </w:r>
    </w:p>
    <w:p w:rsidR="00F52EFF" w:rsidRPr="002279E2" w:rsidRDefault="00F52EFF" w:rsidP="00826FD7">
      <w:pPr>
        <w:pStyle w:val="Paragrafoelenco"/>
        <w:numPr>
          <w:ilvl w:val="0"/>
          <w:numId w:val="15"/>
        </w:numPr>
        <w:spacing w:after="0" w:line="240" w:lineRule="auto"/>
        <w:ind w:left="714" w:hanging="357"/>
        <w:rPr>
          <w:rFonts w:ascii="Times New Roman" w:eastAsia="SimSun" w:hAnsi="Times New Roman"/>
          <w:bCs/>
          <w:iCs/>
          <w:kern w:val="32"/>
          <w:lang w:val="it-IT" w:eastAsia="zh-CN"/>
        </w:rPr>
      </w:pPr>
      <w:r w:rsidRPr="002279E2">
        <w:rPr>
          <w:rFonts w:ascii="Times New Roman" w:eastAsia="SimSun" w:hAnsi="Times New Roman"/>
          <w:bCs/>
          <w:iCs/>
          <w:kern w:val="32"/>
          <w:lang w:val="it-IT" w:eastAsia="zh-CN"/>
        </w:rPr>
        <w:t>si incrementa dal 50 al 70 per cento la riduzione dell’imponibile;</w:t>
      </w:r>
    </w:p>
    <w:p w:rsidR="00F52EFF" w:rsidRPr="002279E2" w:rsidRDefault="00F52EFF" w:rsidP="00826FD7">
      <w:pPr>
        <w:pStyle w:val="Paragrafoelenco"/>
        <w:numPr>
          <w:ilvl w:val="0"/>
          <w:numId w:val="15"/>
        </w:numPr>
        <w:spacing w:after="0" w:line="240" w:lineRule="auto"/>
        <w:ind w:left="714" w:hanging="357"/>
        <w:rPr>
          <w:rFonts w:ascii="Times New Roman" w:eastAsia="SimSun" w:hAnsi="Times New Roman"/>
          <w:bCs/>
          <w:iCs/>
          <w:kern w:val="32"/>
          <w:lang w:val="it-IT" w:eastAsia="zh-CN"/>
        </w:rPr>
      </w:pPr>
      <w:r w:rsidRPr="002279E2">
        <w:rPr>
          <w:rFonts w:ascii="Times New Roman" w:eastAsia="SimSun" w:hAnsi="Times New Roman"/>
          <w:bCs/>
          <w:iCs/>
          <w:kern w:val="32"/>
          <w:lang w:val="it-IT" w:eastAsia="zh-CN"/>
        </w:rPr>
        <w:t>si semplificano le condizioni per accedere al regime fiscale di favore;</w:t>
      </w:r>
    </w:p>
    <w:p w:rsidR="00F52EFF" w:rsidRPr="002279E2" w:rsidRDefault="00F52EFF" w:rsidP="00826FD7">
      <w:pPr>
        <w:pStyle w:val="Paragrafoelenco"/>
        <w:numPr>
          <w:ilvl w:val="0"/>
          <w:numId w:val="15"/>
        </w:numPr>
        <w:spacing w:after="0" w:line="240" w:lineRule="auto"/>
        <w:ind w:left="714" w:hanging="357"/>
        <w:rPr>
          <w:rFonts w:ascii="Times New Roman" w:eastAsia="SimSun" w:hAnsi="Times New Roman"/>
          <w:bCs/>
          <w:iCs/>
          <w:color w:val="auto"/>
          <w:kern w:val="32"/>
          <w:lang w:val="it-IT" w:eastAsia="zh-CN"/>
        </w:rPr>
      </w:pPr>
      <w:r w:rsidRPr="002279E2">
        <w:rPr>
          <w:rFonts w:ascii="Times New Roman" w:eastAsia="SimSun" w:hAnsi="Times New Roman"/>
          <w:bCs/>
          <w:iCs/>
          <w:kern w:val="32"/>
          <w:lang w:val="it-IT" w:eastAsia="zh-CN"/>
        </w:rPr>
        <w:t xml:space="preserve">si estende il regime di favore </w:t>
      </w:r>
      <w:r w:rsidRPr="002279E2">
        <w:rPr>
          <w:rFonts w:ascii="Times New Roman" w:eastAsia="SimSun" w:hAnsi="Times New Roman"/>
          <w:bCs/>
          <w:iCs/>
          <w:color w:val="auto"/>
          <w:kern w:val="32"/>
          <w:lang w:val="it-IT" w:eastAsia="zh-CN"/>
        </w:rPr>
        <w:t>anche alle persone fisiche che avviano un’attività d’impresa a partire dal periodo d’imposta successivo a quello in corso alla data del 31 dicembre 2019;</w:t>
      </w:r>
    </w:p>
    <w:p w:rsidR="00F52EFF" w:rsidRPr="002279E2" w:rsidRDefault="00F52EFF" w:rsidP="00826FD7">
      <w:pPr>
        <w:pStyle w:val="Paragrafoelenco"/>
        <w:numPr>
          <w:ilvl w:val="0"/>
          <w:numId w:val="15"/>
        </w:numPr>
        <w:spacing w:after="0" w:line="240" w:lineRule="auto"/>
        <w:ind w:left="714" w:hanging="357"/>
        <w:rPr>
          <w:rFonts w:ascii="Times New Roman" w:eastAsia="SimSun" w:hAnsi="Times New Roman"/>
          <w:bCs/>
          <w:iCs/>
          <w:kern w:val="32"/>
          <w:lang w:val="it-IT" w:eastAsia="zh-CN"/>
        </w:rPr>
      </w:pPr>
      <w:r w:rsidRPr="002279E2">
        <w:rPr>
          <w:rFonts w:ascii="Times New Roman" w:eastAsia="SimSun" w:hAnsi="Times New Roman"/>
          <w:bCs/>
          <w:iCs/>
          <w:kern w:val="32"/>
          <w:lang w:val="it-IT" w:eastAsia="zh-CN"/>
        </w:rPr>
        <w:t>si introducono maggiori agevolazioni fiscali per ulteriori 5 periodi d’imposta in presenza di specifiche condizioni (numero di figli minorenni, acquisto dell’unità immobiliare di tipo residenziale in Italia, trasferimento della residenza in regioni del Mezzogiorno).</w:t>
      </w:r>
    </w:p>
    <w:p w:rsidR="00F52EFF" w:rsidRPr="002279E2" w:rsidRDefault="00F52EFF" w:rsidP="00F52EFF">
      <w:pPr>
        <w:contextualSpacing/>
        <w:rPr>
          <w:rFonts w:eastAsia="SimSun" w:cs="Times New Roman"/>
          <w:bCs/>
          <w:iCs/>
          <w:color w:val="FF0000"/>
          <w:kern w:val="32"/>
          <w:lang w:eastAsia="zh-CN"/>
        </w:rPr>
      </w:pPr>
      <w:r w:rsidRPr="002279E2">
        <w:rPr>
          <w:rFonts w:eastAsia="SimSun" w:cs="Times New Roman"/>
          <w:bCs/>
          <w:iCs/>
          <w:kern w:val="32"/>
          <w:lang w:eastAsia="zh-CN"/>
        </w:rPr>
        <w:t xml:space="preserve">Inoltre, si dispone alla lettera e) del comma 1 che possono accedere ai benefici fiscali dell’articolo 16, risultante dalle modifiche apportate, i cittadini italiani non iscritti all’AIRE rientrati in Italia a decorrere </w:t>
      </w:r>
      <w:r w:rsidRPr="002279E2">
        <w:rPr>
          <w:rFonts w:cs="Times New Roman"/>
        </w:rPr>
        <w:t>dal periodo d’imposta successivo a quello in corso al 31 dicembre 2019</w:t>
      </w:r>
      <w:r w:rsidRPr="002279E2" w:rsidDel="002C0413">
        <w:rPr>
          <w:rFonts w:eastAsia="SimSun" w:cs="Times New Roman"/>
          <w:bCs/>
          <w:iCs/>
          <w:kern w:val="32"/>
          <w:lang w:eastAsia="zh-CN"/>
        </w:rPr>
        <w:t xml:space="preserve"> </w:t>
      </w:r>
      <w:r w:rsidRPr="002279E2">
        <w:rPr>
          <w:rFonts w:eastAsia="SimSun" w:cs="Times New Roman"/>
          <w:bCs/>
          <w:iCs/>
          <w:kern w:val="32"/>
          <w:lang w:eastAsia="zh-CN"/>
        </w:rPr>
        <w:t>purché abbiano avuto la residenza in un altro Stato ai sensi di una convenzione contro le doppie imposizioni sui redditi nei due periodi d’imposta precedenti il trasferimento in Italia. Relativamente, invece, ai cittadini italiani impatriati non iscritti all’AIRE  e già rientrati in Italia entro il 31 dicembre 2019 si rendono applicabili, con riferimento ai periodi d’imposta in cui siano stati notificati atti impositivi ancora impugnabili ovvero che siano oggetto di controversie pendenti nonché con riferimento ai periodi d’imposta ancora accertabili, le disposizioni dell’articolo 16 nel testo vigente al 31 dicembre 2018, sempre che abbiano avuto la residenza in un altro Stato ai sensi di una convenzione contro le doppie imposizioni sui redditi per il periodo di cui al comma 1, lettera a), del medesimo articolo 16. E’ previsto che non possa farsi luogo al rimborso delle imposte pagate dai contribuenti in forza di adempimento spontaneo.</w:t>
      </w:r>
    </w:p>
    <w:p w:rsidR="00F52EFF" w:rsidRPr="002279E2" w:rsidRDefault="00F52EFF" w:rsidP="00F52EFF">
      <w:pPr>
        <w:contextualSpacing/>
        <w:rPr>
          <w:rFonts w:eastAsia="SimSun" w:cs="Times New Roman"/>
          <w:bCs/>
          <w:iCs/>
          <w:kern w:val="32"/>
          <w:lang w:eastAsia="zh-CN"/>
        </w:rPr>
      </w:pPr>
      <w:r w:rsidRPr="002279E2">
        <w:rPr>
          <w:rFonts w:eastAsia="SimSun" w:cs="Times New Roman"/>
          <w:bCs/>
          <w:iCs/>
          <w:kern w:val="32"/>
          <w:lang w:eastAsia="zh-CN"/>
        </w:rPr>
        <w:t>Nei commi 4 e 5, con riferimento ai docenti e ricercatori che trasferiscono la residenza in Italia a partire dal periodo d’imposta successivo a quello in corso al 31 dicembre 2019:</w:t>
      </w:r>
    </w:p>
    <w:p w:rsidR="00F52EFF" w:rsidRPr="002279E2" w:rsidRDefault="00F52EFF" w:rsidP="00826FD7">
      <w:pPr>
        <w:pStyle w:val="Paragrafoelenco"/>
        <w:numPr>
          <w:ilvl w:val="0"/>
          <w:numId w:val="16"/>
        </w:numPr>
        <w:spacing w:after="0" w:line="240" w:lineRule="auto"/>
        <w:rPr>
          <w:rFonts w:ascii="Times New Roman" w:eastAsia="SimSun" w:hAnsi="Times New Roman"/>
          <w:bCs/>
          <w:iCs/>
          <w:kern w:val="32"/>
          <w:lang w:val="it-IT" w:eastAsia="zh-CN"/>
        </w:rPr>
      </w:pPr>
      <w:r w:rsidRPr="002279E2">
        <w:rPr>
          <w:rFonts w:ascii="Times New Roman" w:eastAsia="SimSun" w:hAnsi="Times New Roman"/>
          <w:bCs/>
          <w:iCs/>
          <w:kern w:val="32"/>
          <w:lang w:val="it-IT" w:eastAsia="zh-CN"/>
        </w:rPr>
        <w:t>si incrementa da 4 a 6 anni la durata del regime di favore fiscale;</w:t>
      </w:r>
    </w:p>
    <w:p w:rsidR="00F52EFF" w:rsidRPr="002279E2" w:rsidRDefault="00F52EFF" w:rsidP="00826FD7">
      <w:pPr>
        <w:pStyle w:val="Paragrafoelenco"/>
        <w:numPr>
          <w:ilvl w:val="0"/>
          <w:numId w:val="16"/>
        </w:numPr>
        <w:spacing w:after="0" w:line="240" w:lineRule="auto"/>
        <w:rPr>
          <w:rFonts w:ascii="Times New Roman" w:eastAsia="SimSun" w:hAnsi="Times New Roman"/>
          <w:bCs/>
          <w:iCs/>
          <w:kern w:val="32"/>
          <w:lang w:val="it-IT" w:eastAsia="zh-CN"/>
        </w:rPr>
      </w:pPr>
      <w:r w:rsidRPr="002279E2">
        <w:rPr>
          <w:rFonts w:ascii="Times New Roman" w:eastAsia="SimSun" w:hAnsi="Times New Roman"/>
          <w:bCs/>
          <w:iCs/>
          <w:kern w:val="32"/>
          <w:lang w:val="it-IT" w:eastAsia="zh-CN"/>
        </w:rPr>
        <w:t>si prolunga la durata dell’agevolazione fiscale a 8, 11 e 13 anni, in presenza di specifiche condizioni (numero di figli minorenni e acquisto dell’unità immobiliare di tipo residenziale in Italia).</w:t>
      </w:r>
    </w:p>
    <w:p w:rsidR="00F52EFF" w:rsidRPr="002279E2" w:rsidRDefault="00F52EFF" w:rsidP="00F52EFF">
      <w:pPr>
        <w:contextualSpacing/>
        <w:rPr>
          <w:rFonts w:eastAsia="SimSun" w:cs="Times New Roman"/>
          <w:bCs/>
          <w:iCs/>
          <w:kern w:val="32"/>
          <w:lang w:eastAsia="zh-CN"/>
        </w:rPr>
      </w:pPr>
      <w:r w:rsidRPr="002279E2">
        <w:rPr>
          <w:rFonts w:eastAsia="SimSun" w:cs="Times New Roman"/>
          <w:bCs/>
          <w:iCs/>
          <w:kern w:val="32"/>
          <w:lang w:eastAsia="zh-CN"/>
        </w:rPr>
        <w:t>Inoltre, si dispone che possono accedere ai benefici fiscali di cui all’articolo 44 del d.l. n.78 del 2010, risultante dalle modifiche apportate, i docenti e ricercatori italiani non iscritti all’AIRE rientrati in Italia a decorrere dal periodo d’imposta successivo a quello in corso al 31 dicembre 2019 purché abbiano avuto la residenza in un altro Stato ai sensi di una convenzione contro le doppie imposizioni sui redditi nei due periodi d’imposta precedenti il trasferimento in Italia. Relativamente, invece, ai docenti e ricercatori non iscritti all’AIRE  e già rientrati in Italia entro il 31 dicembre 2019 si rendono applicabili, con riferimento ai periodi d’imposta in cui siano stati notificati atti impositivi ancora impugnabili ovvero che siano oggetto di controversie pendenti nonché con riferimento ai periodi d’imposta ancora accertabili, le disposizioni dell’articolo 44 nel testo vigente al 31 dicembre 2018, sempre che abbiano avuto la residenza in un altro Stato ai sensi di una convenzione contro le doppie imposizioni sui redditi per il periodo di cui all’articolo 16, comma 1, lettera a), del decreto legislativo 14 settembre 2015, n. 147. E’ previsto che non possa farsi luogo al rimborso delle imposte pagate dai contribuenti in forza di adempimento spontaneo.</w:t>
      </w:r>
    </w:p>
    <w:p w:rsidR="00F52EFF" w:rsidRPr="002279E2" w:rsidRDefault="00F52EFF" w:rsidP="00F52EFF">
      <w:pPr>
        <w:contextualSpacing/>
        <w:rPr>
          <w:rFonts w:eastAsia="SimSun" w:cs="Times New Roman"/>
          <w:bCs/>
          <w:iCs/>
          <w:kern w:val="32"/>
          <w:lang w:eastAsia="zh-CN"/>
        </w:rPr>
      </w:pPr>
    </w:p>
    <w:p w:rsidR="00F52EFF" w:rsidRPr="002279E2" w:rsidRDefault="00F52EFF" w:rsidP="00F52EFF">
      <w:pPr>
        <w:jc w:val="center"/>
        <w:rPr>
          <w:rFonts w:cs="Times New Roman"/>
          <w:b/>
        </w:rPr>
      </w:pPr>
      <w:r w:rsidRPr="002279E2">
        <w:rPr>
          <w:rFonts w:cs="Times New Roman"/>
          <w:b/>
        </w:rPr>
        <w:t>Relazione tecnica</w:t>
      </w:r>
    </w:p>
    <w:p w:rsidR="00F52EFF" w:rsidRPr="002279E2" w:rsidRDefault="00F52EFF" w:rsidP="00F52EFF">
      <w:pPr>
        <w:spacing w:afterLines="160" w:after="384"/>
        <w:contextualSpacing/>
        <w:rPr>
          <w:rFonts w:eastAsia="SimSun" w:cs="Times New Roman"/>
          <w:bCs/>
          <w:iCs/>
          <w:kern w:val="32"/>
          <w:lang w:eastAsia="zh-CN"/>
        </w:rPr>
      </w:pPr>
      <w:r w:rsidRPr="002279E2">
        <w:rPr>
          <w:rFonts w:eastAsia="SimSun" w:cs="Times New Roman"/>
          <w:bCs/>
          <w:iCs/>
          <w:kern w:val="32"/>
          <w:lang w:eastAsia="zh-CN"/>
        </w:rPr>
        <w:t xml:space="preserve">La disposizione rafforza le misure agevolative per i soggetti che aderiscono al regime degli impatriati di cui all’articolo 16 del d.lgs. n. 147 del 2015 nonché al regime del rientro dei cervelli di cui all’articolo 44 del d.l. n. 78 del 2010. </w:t>
      </w:r>
    </w:p>
    <w:p w:rsidR="00F52EFF" w:rsidRPr="002279E2" w:rsidRDefault="00F52EFF" w:rsidP="00F52EFF">
      <w:pPr>
        <w:spacing w:afterLines="160" w:after="384"/>
        <w:contextualSpacing/>
        <w:rPr>
          <w:rFonts w:eastAsia="SimSun" w:cs="Times New Roman"/>
          <w:bCs/>
          <w:iCs/>
          <w:kern w:val="32"/>
          <w:lang w:eastAsia="zh-CN"/>
        </w:rPr>
      </w:pPr>
      <w:r w:rsidRPr="002279E2">
        <w:rPr>
          <w:rFonts w:eastAsia="SimSun" w:cs="Times New Roman"/>
          <w:bCs/>
          <w:iCs/>
          <w:kern w:val="32"/>
          <w:lang w:eastAsia="zh-CN"/>
        </w:rPr>
        <w:lastRenderedPageBreak/>
        <w:t>Ai fini della stima, analogamente a quanto stimato in occasione dell’introduzione del regime agevolato in questione, si ritiene  che l’agevolazione in oggetto non produca sostanziali effetti negativi sul gettito fiscale. Infatti si stima che gli effetti positivi sul gettito determinati dalla tassazione (ancorché agevolata) dei redditi dei soggetti che decidono il rientro in Italia in conseguenza della presente norma, appaiono più che adeguati a coprire gli eventuali modesti effetti negativi riscontrabili sul tendenziale.</w:t>
      </w:r>
    </w:p>
    <w:p w:rsidR="00F52EFF" w:rsidRPr="002279E2" w:rsidRDefault="00F52EFF" w:rsidP="00F52EFF">
      <w:pPr>
        <w:spacing w:afterLines="160" w:after="384"/>
        <w:contextualSpacing/>
        <w:rPr>
          <w:rFonts w:eastAsia="SimSun" w:cs="Times New Roman"/>
          <w:bCs/>
          <w:iCs/>
          <w:kern w:val="32"/>
          <w:lang w:eastAsia="zh-CN"/>
        </w:rPr>
      </w:pPr>
      <w:r w:rsidRPr="002279E2">
        <w:rPr>
          <w:rFonts w:eastAsia="SimSun" w:cs="Times New Roman"/>
          <w:bCs/>
          <w:iCs/>
          <w:kern w:val="32"/>
          <w:lang w:eastAsia="zh-CN"/>
        </w:rPr>
        <w:t xml:space="preserve">Inoltre la disposizione prevede al comma 4, lettera c), che possono accedere ai benefici fiscali di cui all’articolo 44 del D.L. n.78 del 2010, risultante dalle modifiche apportate, i docenti e ricercatori italiani non iscritti all’AIRE rientrati in Italia a decorrere dal periodo d’imposta successivo al 31 dicembre 2019 purché abbiano avuto la residenza in un altro Stato ai sensi di una convenzione contro le doppie imposizioni sui redditi per il periodo di cui all’articolo 16, comma 1, lettera a), del D.Lgs. n. 147/2015. </w:t>
      </w:r>
    </w:p>
    <w:p w:rsidR="00F52EFF" w:rsidRPr="002279E2" w:rsidRDefault="00F52EFF" w:rsidP="00F52EFF">
      <w:pPr>
        <w:spacing w:afterLines="160" w:after="384"/>
        <w:contextualSpacing/>
        <w:rPr>
          <w:rFonts w:eastAsia="SimSun" w:cs="Times New Roman"/>
          <w:bCs/>
          <w:iCs/>
          <w:kern w:val="32"/>
          <w:lang w:eastAsia="zh-CN"/>
        </w:rPr>
      </w:pPr>
      <w:r w:rsidRPr="002279E2">
        <w:rPr>
          <w:rFonts w:eastAsia="SimSun" w:cs="Times New Roman"/>
          <w:bCs/>
          <w:iCs/>
          <w:kern w:val="32"/>
          <w:lang w:eastAsia="zh-CN"/>
        </w:rPr>
        <w:t>L’art. 44 del D.L. 31 maggio 2010, n. 78 ha previsto che ai fini delle imposte sui redditi è escluso dalla formazione del reddito di lavoro dipendente o autonomo il novanta per cento degli emolumenti percepiti dai docenti e dai ricercatori che, in possesso di titolo di studio universitario o equiparato e non occasionalmente residenti all'estero, abbiano svolto documentata attività' di ricerca o docenza all'estero presso centri di ricerca pubblici o privati o università' per almeno due anni continuativi e che vengono a svolgere la loro attività' in Italia, acquisendo conseguentemente la residenza fiscale nel territorio dello Stato</w:t>
      </w:r>
    </w:p>
    <w:p w:rsidR="00F52EFF" w:rsidRPr="002279E2" w:rsidRDefault="00F52EFF" w:rsidP="00F52EFF">
      <w:pPr>
        <w:spacing w:afterLines="160" w:after="384"/>
        <w:contextualSpacing/>
        <w:rPr>
          <w:rFonts w:eastAsia="SimSun" w:cs="Times New Roman"/>
          <w:bCs/>
          <w:iCs/>
          <w:kern w:val="32"/>
          <w:lang w:eastAsia="zh-CN"/>
        </w:rPr>
      </w:pPr>
      <w:r w:rsidRPr="002279E2">
        <w:rPr>
          <w:rFonts w:eastAsia="SimSun" w:cs="Times New Roman"/>
          <w:bCs/>
          <w:iCs/>
          <w:kern w:val="32"/>
          <w:lang w:eastAsia="zh-CN"/>
        </w:rPr>
        <w:t xml:space="preserve">Allo scopo di individuare eventuali casi di abuso delle agevolazioni di cui all’art. 44 D.L. 31 maggio 2010, n. 78 (Incentivi per il rientro in Italia di ricercatori residenti all'estero), nell’ambito dell’attività di controllo programmate per le persone fisiche, sono state elaborate liste selettive per gli anni d’imposta 2013 e 2014. </w:t>
      </w:r>
    </w:p>
    <w:p w:rsidR="00F52EFF" w:rsidRPr="002279E2" w:rsidRDefault="00F52EFF" w:rsidP="00F52EFF">
      <w:pPr>
        <w:spacing w:afterLines="160" w:after="384"/>
        <w:contextualSpacing/>
        <w:rPr>
          <w:rFonts w:eastAsia="SimSun" w:cs="Times New Roman"/>
          <w:bCs/>
          <w:iCs/>
          <w:kern w:val="32"/>
          <w:lang w:eastAsia="zh-CN"/>
        </w:rPr>
      </w:pPr>
      <w:r w:rsidRPr="002279E2">
        <w:rPr>
          <w:rFonts w:eastAsia="SimSun" w:cs="Times New Roman"/>
          <w:bCs/>
          <w:iCs/>
          <w:kern w:val="32"/>
          <w:lang w:eastAsia="zh-CN"/>
        </w:rPr>
        <w:t>Per l’elaborazione delle liste, in relazione ai percettori di redditi da lavoro dipendente, con riferimento a ciascun anno d’imposta a partire dal 2013, si è proceduto all’incrocio tra i campi dichiarativi relativi alla richiesta di fruizione dell’agevolazione e i dati presenti nell’Anagrafe della popolazione residente, individuando i soggetti che hanno usufruito dell’agevolazione ma non si sono mai cancellati dall’Anagrafe. I soggetti così selezionati sono stati inviati agli uffici per procedere alle verifiche in contraddittorio con l</w:t>
      </w:r>
      <w:r w:rsidR="009021DA" w:rsidRPr="002279E2">
        <w:rPr>
          <w:rFonts w:eastAsia="SimSun" w:cs="Times New Roman"/>
          <w:bCs/>
          <w:iCs/>
          <w:kern w:val="32"/>
          <w:lang w:eastAsia="zh-CN"/>
        </w:rPr>
        <w:t xml:space="preserve">a parte al fine di determinare </w:t>
      </w:r>
      <w:r w:rsidRPr="002279E2">
        <w:rPr>
          <w:rFonts w:eastAsia="SimSun" w:cs="Times New Roman"/>
          <w:bCs/>
          <w:iCs/>
          <w:kern w:val="32"/>
          <w:lang w:eastAsia="zh-CN"/>
        </w:rPr>
        <w:t>la spettanza dell’agevolazione.</w:t>
      </w:r>
    </w:p>
    <w:p w:rsidR="00F52EFF" w:rsidRPr="002279E2" w:rsidRDefault="00F52EFF" w:rsidP="00F52EFF">
      <w:pPr>
        <w:rPr>
          <w:rFonts w:cs="Times New Roman"/>
        </w:rPr>
      </w:pPr>
      <w:r w:rsidRPr="002279E2">
        <w:rPr>
          <w:rFonts w:cs="Times New Roman"/>
        </w:rPr>
        <w:t xml:space="preserve">In media, per ogni atto e per ogni annualità è stata accertata una maggiore imposta di circa euro 7.300 e sanzioni per circa euro 6.300. Pertanto, la riscossione media attesa per atto è, al massimo, di </w:t>
      </w:r>
      <w:r w:rsidRPr="002279E2">
        <w:rPr>
          <w:rFonts w:cs="Times New Roman"/>
          <w:b/>
        </w:rPr>
        <w:t>complessivi euro</w:t>
      </w:r>
      <w:r w:rsidRPr="002279E2">
        <w:rPr>
          <w:rFonts w:cs="Times New Roman"/>
        </w:rPr>
        <w:t xml:space="preserve"> </w:t>
      </w:r>
      <w:r w:rsidRPr="002279E2">
        <w:rPr>
          <w:rFonts w:cs="Times New Roman"/>
          <w:b/>
        </w:rPr>
        <w:t>13.600</w:t>
      </w:r>
      <w:r w:rsidRPr="002279E2">
        <w:rPr>
          <w:rFonts w:cs="Times New Roman"/>
        </w:rPr>
        <w:t>.</w:t>
      </w:r>
    </w:p>
    <w:p w:rsidR="00F52EFF" w:rsidRPr="002279E2" w:rsidRDefault="00F52EFF" w:rsidP="00F52EFF">
      <w:pPr>
        <w:rPr>
          <w:rFonts w:cs="Times New Roman"/>
        </w:rPr>
      </w:pPr>
      <w:r w:rsidRPr="002279E2">
        <w:rPr>
          <w:rFonts w:cs="Times New Roman"/>
        </w:rPr>
        <w:t>Inoltre, considerato, che per la fruizione dell’agevolazione è attualmente essenziale il requisito della cancellazione dall’Anagrafe della popolazione residente e che sono stati forniti chiarimenti in merito sia con la circolare n. 4/E del 2011 che con la circolare n. 17/E del 2017, è ragionevole presumere che per gli anni di imposta successivi al 2013 e 2014, la percentuale di positività dei controlli scenda progressivamente.</w:t>
      </w:r>
    </w:p>
    <w:p w:rsidR="00F52EFF" w:rsidRPr="002279E2" w:rsidRDefault="00F52EFF" w:rsidP="00F52EFF">
      <w:pPr>
        <w:rPr>
          <w:rFonts w:cs="Times New Roman"/>
        </w:rPr>
      </w:pPr>
      <w:r w:rsidRPr="002279E2">
        <w:rPr>
          <w:rFonts w:cs="Times New Roman"/>
        </w:rPr>
        <w:t>Pertanto, si può assumere come percentuale media di positività dei controlli tra il 2013 e il 2016 il valore di circa il 10-20%.</w:t>
      </w:r>
    </w:p>
    <w:p w:rsidR="00F52EFF" w:rsidRPr="002279E2" w:rsidRDefault="00F52EFF" w:rsidP="00F52EFF">
      <w:pPr>
        <w:rPr>
          <w:rFonts w:cs="Times New Roman"/>
        </w:rPr>
      </w:pPr>
      <w:r w:rsidRPr="002279E2">
        <w:rPr>
          <w:rFonts w:cs="Times New Roman"/>
        </w:rPr>
        <w:t>In base a tali assunzioni, tenuto conto che l’agevolazione prevista dall’art. 44 D.L. 31 maggio 2010, n. 78 si applica a decorrere dal periodo d’imposta in cui il docente o il ricercatore diviene fiscalmente residente nel territorio dello Stato e nei tre periodi di imposta successivi e, valutati in 2.400 il numero annuo di contribuenti potenzialmente interessati dall’agevolazione, si stima che per i periodi d’imposta che vanno dal 2013 al 2016 a seguito dello svolgimento dell’attività di controllo sostanziale possano essere riscossi  al massimo i seguenti importi:</w:t>
      </w:r>
    </w:p>
    <w:tbl>
      <w:tblPr>
        <w:tblW w:w="9723" w:type="dxa"/>
        <w:tblInd w:w="55" w:type="dxa"/>
        <w:tblCellMar>
          <w:left w:w="70" w:type="dxa"/>
          <w:right w:w="70" w:type="dxa"/>
        </w:tblCellMar>
        <w:tblLook w:val="04A0" w:firstRow="1" w:lastRow="0" w:firstColumn="1" w:lastColumn="0" w:noHBand="0" w:noVBand="1"/>
      </w:tblPr>
      <w:tblGrid>
        <w:gridCol w:w="1858"/>
        <w:gridCol w:w="2410"/>
        <w:gridCol w:w="1252"/>
        <w:gridCol w:w="1441"/>
        <w:gridCol w:w="2762"/>
      </w:tblGrid>
      <w:tr w:rsidR="00F52EFF" w:rsidRPr="002279E2" w:rsidTr="00F52EFF">
        <w:trPr>
          <w:trHeight w:val="675"/>
        </w:trPr>
        <w:tc>
          <w:tcPr>
            <w:tcW w:w="1858"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F52EFF" w:rsidRPr="002279E2" w:rsidRDefault="00F52EFF" w:rsidP="00F52EFF">
            <w:pPr>
              <w:jc w:val="center"/>
              <w:rPr>
                <w:rFonts w:eastAsia="Times New Roman" w:cs="Times New Roman"/>
                <w:b/>
                <w:bCs/>
                <w:color w:val="000000"/>
                <w:lang w:eastAsia="it-IT"/>
              </w:rPr>
            </w:pPr>
            <w:r w:rsidRPr="002279E2">
              <w:rPr>
                <w:rFonts w:eastAsia="Times New Roman" w:cs="Times New Roman"/>
                <w:b/>
                <w:bCs/>
                <w:color w:val="000000"/>
                <w:lang w:eastAsia="it-IT"/>
              </w:rPr>
              <w:t xml:space="preserve">Periodi d'imposta </w:t>
            </w:r>
          </w:p>
        </w:tc>
        <w:tc>
          <w:tcPr>
            <w:tcW w:w="2410" w:type="dxa"/>
            <w:tcBorders>
              <w:top w:val="single" w:sz="4" w:space="0" w:color="auto"/>
              <w:left w:val="nil"/>
              <w:bottom w:val="single" w:sz="4" w:space="0" w:color="auto"/>
              <w:right w:val="single" w:sz="4" w:space="0" w:color="auto"/>
            </w:tcBorders>
            <w:shd w:val="clear" w:color="000000" w:fill="C5D9F1"/>
            <w:vAlign w:val="center"/>
            <w:hideMark/>
          </w:tcPr>
          <w:p w:rsidR="00F52EFF" w:rsidRPr="002279E2" w:rsidRDefault="00F52EFF" w:rsidP="00F52EFF">
            <w:pPr>
              <w:jc w:val="center"/>
              <w:rPr>
                <w:rFonts w:eastAsia="Times New Roman" w:cs="Times New Roman"/>
                <w:b/>
                <w:bCs/>
                <w:color w:val="000000"/>
                <w:lang w:eastAsia="it-IT"/>
              </w:rPr>
            </w:pPr>
            <w:r w:rsidRPr="002279E2">
              <w:rPr>
                <w:rFonts w:eastAsia="Times New Roman" w:cs="Times New Roman"/>
                <w:b/>
                <w:bCs/>
                <w:color w:val="000000"/>
                <w:lang w:eastAsia="it-IT"/>
              </w:rPr>
              <w:t>N. soggetti controllabili</w:t>
            </w:r>
          </w:p>
        </w:tc>
        <w:tc>
          <w:tcPr>
            <w:tcW w:w="1237" w:type="dxa"/>
            <w:tcBorders>
              <w:top w:val="single" w:sz="4" w:space="0" w:color="auto"/>
              <w:left w:val="nil"/>
              <w:bottom w:val="single" w:sz="6" w:space="0" w:color="auto"/>
              <w:right w:val="single" w:sz="6" w:space="0" w:color="auto"/>
            </w:tcBorders>
            <w:shd w:val="clear" w:color="000000" w:fill="C5D9F1"/>
            <w:vAlign w:val="center"/>
          </w:tcPr>
          <w:p w:rsidR="00F52EFF" w:rsidRPr="002279E2" w:rsidDel="002E2BD7" w:rsidRDefault="00F52EFF" w:rsidP="00F52EFF">
            <w:pPr>
              <w:jc w:val="center"/>
              <w:rPr>
                <w:rFonts w:eastAsia="Times New Roman" w:cs="Times New Roman"/>
                <w:b/>
                <w:bCs/>
                <w:color w:val="000000"/>
                <w:lang w:eastAsia="it-IT"/>
              </w:rPr>
            </w:pPr>
            <w:r w:rsidRPr="002279E2">
              <w:rPr>
                <w:rFonts w:eastAsia="Times New Roman" w:cs="Times New Roman"/>
                <w:b/>
                <w:bCs/>
                <w:color w:val="000000"/>
                <w:lang w:eastAsia="it-IT"/>
              </w:rPr>
              <w:t>Percentuale di positività</w:t>
            </w:r>
          </w:p>
        </w:tc>
        <w:tc>
          <w:tcPr>
            <w:tcW w:w="1456" w:type="dxa"/>
            <w:tcBorders>
              <w:top w:val="single" w:sz="4" w:space="0" w:color="auto"/>
              <w:left w:val="single" w:sz="6" w:space="0" w:color="auto"/>
              <w:bottom w:val="single" w:sz="6" w:space="0" w:color="auto"/>
              <w:right w:val="single" w:sz="4" w:space="0" w:color="auto"/>
            </w:tcBorders>
            <w:shd w:val="clear" w:color="000000" w:fill="C5D9F1"/>
          </w:tcPr>
          <w:p w:rsidR="00F52EFF" w:rsidRPr="002279E2" w:rsidDel="002E2BD7" w:rsidRDefault="00F52EFF" w:rsidP="00F52EFF">
            <w:pPr>
              <w:jc w:val="center"/>
              <w:rPr>
                <w:rFonts w:eastAsia="Times New Roman" w:cs="Times New Roman"/>
                <w:b/>
                <w:bCs/>
                <w:color w:val="000000"/>
                <w:lang w:eastAsia="it-IT"/>
              </w:rPr>
            </w:pPr>
            <w:r w:rsidRPr="002279E2">
              <w:rPr>
                <w:rFonts w:eastAsia="Times New Roman" w:cs="Times New Roman"/>
                <w:b/>
                <w:bCs/>
                <w:color w:val="000000"/>
                <w:lang w:eastAsia="it-IT"/>
              </w:rPr>
              <w:t>Numero accertamenti</w:t>
            </w:r>
          </w:p>
        </w:tc>
        <w:tc>
          <w:tcPr>
            <w:tcW w:w="2762" w:type="dxa"/>
            <w:tcBorders>
              <w:top w:val="single" w:sz="4" w:space="0" w:color="auto"/>
              <w:left w:val="single" w:sz="4" w:space="0" w:color="auto"/>
              <w:bottom w:val="single" w:sz="6" w:space="0" w:color="auto"/>
              <w:right w:val="single" w:sz="4" w:space="0" w:color="auto"/>
            </w:tcBorders>
            <w:shd w:val="clear" w:color="000000" w:fill="C5D9F1"/>
            <w:vAlign w:val="center"/>
            <w:hideMark/>
          </w:tcPr>
          <w:p w:rsidR="00F52EFF" w:rsidRPr="002279E2" w:rsidRDefault="00F52EFF" w:rsidP="00F52EFF">
            <w:pPr>
              <w:jc w:val="center"/>
              <w:rPr>
                <w:rFonts w:eastAsia="Times New Roman" w:cs="Times New Roman"/>
                <w:b/>
                <w:bCs/>
                <w:color w:val="000000"/>
                <w:lang w:eastAsia="it-IT"/>
              </w:rPr>
            </w:pPr>
            <w:r w:rsidRPr="002279E2">
              <w:rPr>
                <w:rFonts w:eastAsia="Times New Roman" w:cs="Times New Roman"/>
                <w:b/>
                <w:bCs/>
                <w:color w:val="000000"/>
                <w:lang w:eastAsia="it-IT"/>
              </w:rPr>
              <w:t>Somme riscuotibili</w:t>
            </w:r>
          </w:p>
        </w:tc>
      </w:tr>
      <w:tr w:rsidR="00F52EFF" w:rsidRPr="002279E2" w:rsidTr="00F52EFF">
        <w:trPr>
          <w:trHeight w:val="51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EFF" w:rsidRPr="002279E2" w:rsidRDefault="00F52EFF" w:rsidP="00F52EFF">
            <w:pPr>
              <w:jc w:val="center"/>
              <w:rPr>
                <w:rFonts w:eastAsia="Times New Roman" w:cs="Times New Roman"/>
                <w:color w:val="000000"/>
                <w:lang w:eastAsia="it-IT"/>
              </w:rPr>
            </w:pPr>
            <w:r w:rsidRPr="002279E2">
              <w:rPr>
                <w:rFonts w:eastAsia="Times New Roman" w:cs="Times New Roman"/>
                <w:color w:val="000000"/>
                <w:lang w:eastAsia="it-IT"/>
              </w:rPr>
              <w:t>2013</w:t>
            </w:r>
          </w:p>
        </w:tc>
        <w:tc>
          <w:tcPr>
            <w:tcW w:w="2410" w:type="dxa"/>
            <w:tcBorders>
              <w:top w:val="nil"/>
              <w:left w:val="nil"/>
              <w:bottom w:val="single" w:sz="4" w:space="0" w:color="auto"/>
              <w:right w:val="single" w:sz="4" w:space="0" w:color="auto"/>
            </w:tcBorders>
            <w:shd w:val="clear" w:color="auto" w:fill="auto"/>
            <w:noWrap/>
            <w:vAlign w:val="center"/>
            <w:hideMark/>
          </w:tcPr>
          <w:p w:rsidR="00F52EFF" w:rsidRPr="002279E2" w:rsidRDefault="00F52EFF" w:rsidP="00F52EFF">
            <w:pPr>
              <w:jc w:val="right"/>
              <w:rPr>
                <w:rFonts w:eastAsia="Times New Roman" w:cs="Times New Roman"/>
                <w:color w:val="000000"/>
                <w:lang w:eastAsia="it-IT"/>
              </w:rPr>
            </w:pPr>
            <w:r w:rsidRPr="002279E2">
              <w:rPr>
                <w:rFonts w:eastAsia="Times New Roman" w:cs="Times New Roman"/>
                <w:color w:val="000000"/>
                <w:lang w:eastAsia="it-IT"/>
              </w:rPr>
              <w:t xml:space="preserve">2.400 </w:t>
            </w:r>
          </w:p>
        </w:tc>
        <w:tc>
          <w:tcPr>
            <w:tcW w:w="1237" w:type="dxa"/>
            <w:tcBorders>
              <w:top w:val="single" w:sz="6" w:space="0" w:color="auto"/>
              <w:left w:val="nil"/>
              <w:bottom w:val="single" w:sz="6" w:space="0" w:color="auto"/>
              <w:right w:val="single" w:sz="6" w:space="0" w:color="auto"/>
            </w:tcBorders>
            <w:vAlign w:val="center"/>
          </w:tcPr>
          <w:p w:rsidR="00F52EFF" w:rsidRPr="002279E2" w:rsidDel="002E2BD7" w:rsidRDefault="00F52EFF" w:rsidP="00F52EFF">
            <w:pPr>
              <w:jc w:val="right"/>
              <w:rPr>
                <w:rFonts w:eastAsia="Times New Roman" w:cs="Times New Roman"/>
                <w:color w:val="000000"/>
                <w:lang w:eastAsia="it-IT"/>
              </w:rPr>
            </w:pPr>
            <w:r w:rsidRPr="002279E2">
              <w:rPr>
                <w:rFonts w:eastAsia="Times New Roman" w:cs="Times New Roman"/>
                <w:color w:val="000000"/>
                <w:lang w:eastAsia="it-IT"/>
              </w:rPr>
              <w:t>10%</w:t>
            </w:r>
          </w:p>
        </w:tc>
        <w:tc>
          <w:tcPr>
            <w:tcW w:w="1456" w:type="dxa"/>
            <w:tcBorders>
              <w:top w:val="single" w:sz="6" w:space="0" w:color="auto"/>
              <w:left w:val="single" w:sz="6" w:space="0" w:color="auto"/>
              <w:bottom w:val="single" w:sz="6" w:space="0" w:color="auto"/>
              <w:right w:val="single" w:sz="4" w:space="0" w:color="auto"/>
            </w:tcBorders>
            <w:vAlign w:val="center"/>
          </w:tcPr>
          <w:p w:rsidR="00F52EFF" w:rsidRPr="002279E2" w:rsidDel="002E2BD7" w:rsidRDefault="00F52EFF" w:rsidP="00F52EFF">
            <w:pPr>
              <w:jc w:val="right"/>
              <w:rPr>
                <w:rFonts w:eastAsia="Times New Roman" w:cs="Times New Roman"/>
                <w:color w:val="000000"/>
                <w:lang w:eastAsia="it-IT"/>
              </w:rPr>
            </w:pPr>
            <w:r w:rsidRPr="002279E2">
              <w:rPr>
                <w:rFonts w:eastAsia="Times New Roman" w:cs="Times New Roman"/>
                <w:color w:val="000000"/>
                <w:lang w:eastAsia="it-IT"/>
              </w:rPr>
              <w:t>240</w:t>
            </w:r>
          </w:p>
        </w:tc>
        <w:tc>
          <w:tcPr>
            <w:tcW w:w="2762" w:type="dxa"/>
            <w:tcBorders>
              <w:top w:val="single" w:sz="6" w:space="0" w:color="auto"/>
              <w:left w:val="single" w:sz="4" w:space="0" w:color="auto"/>
              <w:bottom w:val="single" w:sz="6" w:space="0" w:color="auto"/>
              <w:right w:val="single" w:sz="4" w:space="0" w:color="auto"/>
            </w:tcBorders>
            <w:shd w:val="clear" w:color="auto" w:fill="auto"/>
            <w:noWrap/>
            <w:vAlign w:val="center"/>
          </w:tcPr>
          <w:p w:rsidR="00F52EFF" w:rsidRPr="002279E2" w:rsidRDefault="00F52EFF" w:rsidP="00F52EFF">
            <w:pPr>
              <w:jc w:val="right"/>
              <w:rPr>
                <w:rFonts w:eastAsia="Times New Roman" w:cs="Times New Roman"/>
                <w:color w:val="000000"/>
                <w:lang w:eastAsia="it-IT"/>
              </w:rPr>
            </w:pPr>
            <w:r w:rsidRPr="002279E2">
              <w:rPr>
                <w:rFonts w:eastAsia="Times New Roman" w:cs="Times New Roman"/>
                <w:color w:val="000000"/>
                <w:lang w:eastAsia="it-IT"/>
              </w:rPr>
              <w:t>€ 3.264.000</w:t>
            </w:r>
          </w:p>
        </w:tc>
      </w:tr>
      <w:tr w:rsidR="00F52EFF" w:rsidRPr="002279E2" w:rsidTr="00F52EFF">
        <w:trPr>
          <w:trHeight w:val="55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EFF" w:rsidRPr="002279E2" w:rsidRDefault="00F52EFF" w:rsidP="00F52EFF">
            <w:pPr>
              <w:jc w:val="center"/>
              <w:rPr>
                <w:rFonts w:eastAsia="Times New Roman" w:cs="Times New Roman"/>
                <w:color w:val="000000"/>
                <w:lang w:eastAsia="it-IT"/>
              </w:rPr>
            </w:pPr>
            <w:r w:rsidRPr="002279E2">
              <w:rPr>
                <w:rFonts w:eastAsia="Times New Roman" w:cs="Times New Roman"/>
                <w:color w:val="000000"/>
                <w:lang w:eastAsia="it-IT"/>
              </w:rPr>
              <w:t>2014</w:t>
            </w:r>
          </w:p>
        </w:tc>
        <w:tc>
          <w:tcPr>
            <w:tcW w:w="2410" w:type="dxa"/>
            <w:tcBorders>
              <w:top w:val="nil"/>
              <w:left w:val="nil"/>
              <w:bottom w:val="single" w:sz="4" w:space="0" w:color="auto"/>
              <w:right w:val="single" w:sz="4" w:space="0" w:color="auto"/>
            </w:tcBorders>
            <w:shd w:val="clear" w:color="auto" w:fill="auto"/>
            <w:noWrap/>
            <w:vAlign w:val="center"/>
            <w:hideMark/>
          </w:tcPr>
          <w:p w:rsidR="00F52EFF" w:rsidRPr="002279E2" w:rsidRDefault="00F52EFF" w:rsidP="00F52EFF">
            <w:pPr>
              <w:jc w:val="right"/>
              <w:rPr>
                <w:rFonts w:eastAsia="Times New Roman" w:cs="Times New Roman"/>
                <w:color w:val="000000"/>
                <w:lang w:eastAsia="it-IT"/>
              </w:rPr>
            </w:pPr>
            <w:r w:rsidRPr="002279E2">
              <w:rPr>
                <w:rFonts w:eastAsia="Times New Roman" w:cs="Times New Roman"/>
                <w:color w:val="000000"/>
                <w:lang w:eastAsia="it-IT"/>
              </w:rPr>
              <w:t xml:space="preserve">2.400 </w:t>
            </w:r>
          </w:p>
        </w:tc>
        <w:tc>
          <w:tcPr>
            <w:tcW w:w="1237" w:type="dxa"/>
            <w:tcBorders>
              <w:top w:val="single" w:sz="6" w:space="0" w:color="auto"/>
              <w:left w:val="nil"/>
              <w:bottom w:val="single" w:sz="6" w:space="0" w:color="auto"/>
              <w:right w:val="single" w:sz="6" w:space="0" w:color="auto"/>
            </w:tcBorders>
            <w:vAlign w:val="center"/>
          </w:tcPr>
          <w:p w:rsidR="00F52EFF" w:rsidRPr="002279E2" w:rsidDel="002E2BD7" w:rsidRDefault="00F52EFF" w:rsidP="00F52EFF">
            <w:pPr>
              <w:jc w:val="right"/>
              <w:rPr>
                <w:rFonts w:eastAsia="Times New Roman" w:cs="Times New Roman"/>
                <w:color w:val="000000"/>
                <w:lang w:eastAsia="it-IT"/>
              </w:rPr>
            </w:pPr>
            <w:r w:rsidRPr="002279E2">
              <w:rPr>
                <w:rFonts w:eastAsia="Times New Roman" w:cs="Times New Roman"/>
                <w:color w:val="000000"/>
                <w:lang w:eastAsia="it-IT"/>
              </w:rPr>
              <w:t>10%</w:t>
            </w:r>
          </w:p>
        </w:tc>
        <w:tc>
          <w:tcPr>
            <w:tcW w:w="1456" w:type="dxa"/>
            <w:tcBorders>
              <w:top w:val="single" w:sz="6" w:space="0" w:color="auto"/>
              <w:left w:val="single" w:sz="6" w:space="0" w:color="auto"/>
              <w:bottom w:val="single" w:sz="6" w:space="0" w:color="auto"/>
              <w:right w:val="single" w:sz="4" w:space="0" w:color="auto"/>
            </w:tcBorders>
            <w:vAlign w:val="center"/>
          </w:tcPr>
          <w:p w:rsidR="00F52EFF" w:rsidRPr="002279E2" w:rsidDel="002E2BD7" w:rsidRDefault="00F52EFF" w:rsidP="00F52EFF">
            <w:pPr>
              <w:jc w:val="right"/>
              <w:rPr>
                <w:rFonts w:eastAsia="Times New Roman" w:cs="Times New Roman"/>
                <w:color w:val="000000"/>
                <w:lang w:eastAsia="it-IT"/>
              </w:rPr>
            </w:pPr>
            <w:r w:rsidRPr="002279E2">
              <w:rPr>
                <w:rFonts w:eastAsia="Times New Roman" w:cs="Times New Roman"/>
                <w:color w:val="000000"/>
                <w:lang w:eastAsia="it-IT"/>
              </w:rPr>
              <w:t>240</w:t>
            </w:r>
          </w:p>
        </w:tc>
        <w:tc>
          <w:tcPr>
            <w:tcW w:w="2762" w:type="dxa"/>
            <w:tcBorders>
              <w:top w:val="single" w:sz="6" w:space="0" w:color="auto"/>
              <w:left w:val="single" w:sz="4" w:space="0" w:color="auto"/>
              <w:bottom w:val="single" w:sz="6" w:space="0" w:color="auto"/>
              <w:right w:val="single" w:sz="4" w:space="0" w:color="auto"/>
            </w:tcBorders>
            <w:shd w:val="clear" w:color="auto" w:fill="auto"/>
            <w:noWrap/>
            <w:vAlign w:val="center"/>
          </w:tcPr>
          <w:p w:rsidR="00F52EFF" w:rsidRPr="002279E2" w:rsidRDefault="00F52EFF" w:rsidP="00F52EFF">
            <w:pPr>
              <w:jc w:val="right"/>
              <w:rPr>
                <w:rFonts w:eastAsia="Times New Roman" w:cs="Times New Roman"/>
                <w:color w:val="000000"/>
                <w:lang w:eastAsia="it-IT"/>
              </w:rPr>
            </w:pPr>
            <w:r w:rsidRPr="002279E2">
              <w:rPr>
                <w:rFonts w:eastAsia="Times New Roman" w:cs="Times New Roman"/>
                <w:caps/>
                <w:color w:val="000000"/>
                <w:lang w:eastAsia="it-IT"/>
              </w:rPr>
              <w:t xml:space="preserve"> € 3.264</w:t>
            </w:r>
            <w:r w:rsidRPr="002279E2">
              <w:rPr>
                <w:rFonts w:eastAsia="Times New Roman" w:cs="Times New Roman"/>
                <w:color w:val="000000"/>
                <w:lang w:eastAsia="it-IT"/>
              </w:rPr>
              <w:t>.000</w:t>
            </w:r>
          </w:p>
        </w:tc>
      </w:tr>
      <w:tr w:rsidR="00F52EFF" w:rsidRPr="002279E2" w:rsidTr="00F52EFF">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EFF" w:rsidRPr="002279E2" w:rsidRDefault="00F52EFF" w:rsidP="00F52EFF">
            <w:pPr>
              <w:jc w:val="center"/>
              <w:rPr>
                <w:rFonts w:eastAsia="Times New Roman" w:cs="Times New Roman"/>
                <w:color w:val="000000"/>
                <w:lang w:eastAsia="it-IT"/>
              </w:rPr>
            </w:pPr>
            <w:r w:rsidRPr="002279E2">
              <w:rPr>
                <w:rFonts w:eastAsia="Times New Roman" w:cs="Times New Roman"/>
                <w:color w:val="000000"/>
                <w:lang w:eastAsia="it-IT"/>
              </w:rPr>
              <w:t>2015</w:t>
            </w:r>
          </w:p>
        </w:tc>
        <w:tc>
          <w:tcPr>
            <w:tcW w:w="2410" w:type="dxa"/>
            <w:tcBorders>
              <w:top w:val="nil"/>
              <w:left w:val="nil"/>
              <w:bottom w:val="single" w:sz="4" w:space="0" w:color="auto"/>
              <w:right w:val="single" w:sz="4" w:space="0" w:color="auto"/>
            </w:tcBorders>
            <w:shd w:val="clear" w:color="auto" w:fill="auto"/>
            <w:noWrap/>
            <w:vAlign w:val="center"/>
            <w:hideMark/>
          </w:tcPr>
          <w:p w:rsidR="00F52EFF" w:rsidRPr="002279E2" w:rsidRDefault="00F52EFF" w:rsidP="00F52EFF">
            <w:pPr>
              <w:jc w:val="right"/>
              <w:rPr>
                <w:rFonts w:eastAsia="Times New Roman" w:cs="Times New Roman"/>
                <w:color w:val="000000"/>
                <w:lang w:eastAsia="it-IT"/>
              </w:rPr>
            </w:pPr>
            <w:r w:rsidRPr="002279E2">
              <w:rPr>
                <w:rFonts w:eastAsia="Times New Roman" w:cs="Times New Roman"/>
                <w:color w:val="000000"/>
                <w:lang w:eastAsia="it-IT"/>
              </w:rPr>
              <w:t xml:space="preserve">2.400 </w:t>
            </w:r>
          </w:p>
        </w:tc>
        <w:tc>
          <w:tcPr>
            <w:tcW w:w="1237" w:type="dxa"/>
            <w:tcBorders>
              <w:top w:val="single" w:sz="6" w:space="0" w:color="auto"/>
              <w:left w:val="nil"/>
              <w:bottom w:val="single" w:sz="6" w:space="0" w:color="auto"/>
              <w:right w:val="single" w:sz="6" w:space="0" w:color="auto"/>
            </w:tcBorders>
            <w:vAlign w:val="center"/>
          </w:tcPr>
          <w:p w:rsidR="00F52EFF" w:rsidRPr="002279E2" w:rsidDel="002E2BD7" w:rsidRDefault="00F52EFF" w:rsidP="00F52EFF">
            <w:pPr>
              <w:jc w:val="right"/>
              <w:rPr>
                <w:rFonts w:eastAsia="Times New Roman" w:cs="Times New Roman"/>
                <w:color w:val="000000"/>
                <w:lang w:eastAsia="it-IT"/>
              </w:rPr>
            </w:pPr>
            <w:r w:rsidRPr="002279E2">
              <w:rPr>
                <w:rFonts w:eastAsia="Times New Roman" w:cs="Times New Roman"/>
                <w:color w:val="000000"/>
                <w:lang w:eastAsia="it-IT"/>
              </w:rPr>
              <w:t>10%</w:t>
            </w:r>
          </w:p>
        </w:tc>
        <w:tc>
          <w:tcPr>
            <w:tcW w:w="1456" w:type="dxa"/>
            <w:tcBorders>
              <w:top w:val="single" w:sz="6" w:space="0" w:color="auto"/>
              <w:left w:val="single" w:sz="6" w:space="0" w:color="auto"/>
              <w:bottom w:val="single" w:sz="6" w:space="0" w:color="auto"/>
              <w:right w:val="single" w:sz="4" w:space="0" w:color="auto"/>
            </w:tcBorders>
            <w:vAlign w:val="center"/>
          </w:tcPr>
          <w:p w:rsidR="00F52EFF" w:rsidRPr="002279E2" w:rsidDel="002E2BD7" w:rsidRDefault="00F52EFF" w:rsidP="00F52EFF">
            <w:pPr>
              <w:jc w:val="right"/>
              <w:rPr>
                <w:rFonts w:eastAsia="Times New Roman" w:cs="Times New Roman"/>
                <w:color w:val="000000"/>
                <w:lang w:eastAsia="it-IT"/>
              </w:rPr>
            </w:pPr>
            <w:r w:rsidRPr="002279E2">
              <w:rPr>
                <w:rFonts w:eastAsia="Times New Roman" w:cs="Times New Roman"/>
                <w:color w:val="000000"/>
                <w:lang w:eastAsia="it-IT"/>
              </w:rPr>
              <w:t>240</w:t>
            </w:r>
          </w:p>
        </w:tc>
        <w:tc>
          <w:tcPr>
            <w:tcW w:w="2762" w:type="dxa"/>
            <w:tcBorders>
              <w:top w:val="single" w:sz="6" w:space="0" w:color="auto"/>
              <w:left w:val="single" w:sz="4" w:space="0" w:color="auto"/>
              <w:bottom w:val="single" w:sz="6" w:space="0" w:color="auto"/>
              <w:right w:val="single" w:sz="4" w:space="0" w:color="auto"/>
            </w:tcBorders>
            <w:shd w:val="clear" w:color="auto" w:fill="auto"/>
            <w:noWrap/>
            <w:vAlign w:val="center"/>
          </w:tcPr>
          <w:p w:rsidR="00F52EFF" w:rsidRPr="002279E2" w:rsidRDefault="00F52EFF" w:rsidP="00F52EFF">
            <w:pPr>
              <w:jc w:val="right"/>
              <w:rPr>
                <w:rFonts w:eastAsia="Times New Roman" w:cs="Times New Roman"/>
                <w:color w:val="000000"/>
                <w:lang w:eastAsia="it-IT"/>
              </w:rPr>
            </w:pPr>
            <w:r w:rsidRPr="002279E2">
              <w:rPr>
                <w:rFonts w:eastAsia="Times New Roman" w:cs="Times New Roman"/>
                <w:color w:val="000000"/>
                <w:lang w:eastAsia="it-IT"/>
              </w:rPr>
              <w:t>€ 3.264.000</w:t>
            </w:r>
          </w:p>
        </w:tc>
      </w:tr>
      <w:tr w:rsidR="00F52EFF" w:rsidRPr="002279E2" w:rsidTr="00F52EFF">
        <w:trPr>
          <w:trHeight w:val="45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EFF" w:rsidRPr="002279E2" w:rsidRDefault="00F52EFF" w:rsidP="00F52EFF">
            <w:pPr>
              <w:jc w:val="center"/>
              <w:rPr>
                <w:rFonts w:eastAsia="Times New Roman" w:cs="Times New Roman"/>
                <w:color w:val="000000"/>
                <w:lang w:eastAsia="it-IT"/>
              </w:rPr>
            </w:pPr>
            <w:r w:rsidRPr="002279E2">
              <w:rPr>
                <w:rFonts w:eastAsia="Times New Roman" w:cs="Times New Roman"/>
                <w:color w:val="000000"/>
                <w:lang w:eastAsia="it-IT"/>
              </w:rPr>
              <w:t>2016</w:t>
            </w:r>
          </w:p>
        </w:tc>
        <w:tc>
          <w:tcPr>
            <w:tcW w:w="2410" w:type="dxa"/>
            <w:tcBorders>
              <w:top w:val="nil"/>
              <w:left w:val="nil"/>
              <w:bottom w:val="single" w:sz="4" w:space="0" w:color="auto"/>
              <w:right w:val="single" w:sz="4" w:space="0" w:color="auto"/>
            </w:tcBorders>
            <w:shd w:val="clear" w:color="auto" w:fill="auto"/>
            <w:noWrap/>
            <w:vAlign w:val="center"/>
            <w:hideMark/>
          </w:tcPr>
          <w:p w:rsidR="00F52EFF" w:rsidRPr="002279E2" w:rsidRDefault="00F52EFF" w:rsidP="00F52EFF">
            <w:pPr>
              <w:jc w:val="right"/>
              <w:rPr>
                <w:rFonts w:eastAsia="Times New Roman" w:cs="Times New Roman"/>
                <w:color w:val="000000"/>
                <w:lang w:eastAsia="it-IT"/>
              </w:rPr>
            </w:pPr>
            <w:r w:rsidRPr="002279E2">
              <w:rPr>
                <w:rFonts w:eastAsia="Times New Roman" w:cs="Times New Roman"/>
                <w:color w:val="000000"/>
                <w:lang w:eastAsia="it-IT"/>
              </w:rPr>
              <w:t xml:space="preserve">2.400 </w:t>
            </w:r>
          </w:p>
        </w:tc>
        <w:tc>
          <w:tcPr>
            <w:tcW w:w="1237" w:type="dxa"/>
            <w:tcBorders>
              <w:top w:val="single" w:sz="6" w:space="0" w:color="auto"/>
              <w:left w:val="nil"/>
              <w:bottom w:val="single" w:sz="6" w:space="0" w:color="auto"/>
              <w:right w:val="single" w:sz="6" w:space="0" w:color="auto"/>
            </w:tcBorders>
            <w:vAlign w:val="center"/>
          </w:tcPr>
          <w:p w:rsidR="00F52EFF" w:rsidRPr="002279E2" w:rsidDel="002E2BD7" w:rsidRDefault="00F52EFF" w:rsidP="00F52EFF">
            <w:pPr>
              <w:jc w:val="right"/>
              <w:rPr>
                <w:rFonts w:eastAsia="Times New Roman" w:cs="Times New Roman"/>
                <w:color w:val="000000"/>
                <w:lang w:eastAsia="it-IT"/>
              </w:rPr>
            </w:pPr>
            <w:r w:rsidRPr="002279E2">
              <w:rPr>
                <w:rFonts w:eastAsia="Times New Roman" w:cs="Times New Roman"/>
                <w:color w:val="000000"/>
                <w:lang w:eastAsia="it-IT"/>
              </w:rPr>
              <w:t>10%</w:t>
            </w:r>
          </w:p>
        </w:tc>
        <w:tc>
          <w:tcPr>
            <w:tcW w:w="1456" w:type="dxa"/>
            <w:tcBorders>
              <w:top w:val="single" w:sz="6" w:space="0" w:color="auto"/>
              <w:left w:val="single" w:sz="6" w:space="0" w:color="auto"/>
              <w:bottom w:val="single" w:sz="6" w:space="0" w:color="auto"/>
              <w:right w:val="single" w:sz="4" w:space="0" w:color="auto"/>
            </w:tcBorders>
            <w:vAlign w:val="center"/>
          </w:tcPr>
          <w:p w:rsidR="00F52EFF" w:rsidRPr="002279E2" w:rsidDel="002E2BD7" w:rsidRDefault="00F52EFF" w:rsidP="00F52EFF">
            <w:pPr>
              <w:jc w:val="right"/>
              <w:rPr>
                <w:rFonts w:eastAsia="Times New Roman" w:cs="Times New Roman"/>
                <w:color w:val="000000"/>
                <w:lang w:eastAsia="it-IT"/>
              </w:rPr>
            </w:pPr>
            <w:r w:rsidRPr="002279E2">
              <w:rPr>
                <w:rFonts w:eastAsia="Times New Roman" w:cs="Times New Roman"/>
                <w:color w:val="000000"/>
                <w:lang w:eastAsia="it-IT"/>
              </w:rPr>
              <w:t>240</w:t>
            </w:r>
          </w:p>
        </w:tc>
        <w:tc>
          <w:tcPr>
            <w:tcW w:w="2762" w:type="dxa"/>
            <w:tcBorders>
              <w:top w:val="single" w:sz="6" w:space="0" w:color="auto"/>
              <w:left w:val="single" w:sz="4" w:space="0" w:color="auto"/>
              <w:bottom w:val="single" w:sz="4" w:space="0" w:color="auto"/>
              <w:right w:val="single" w:sz="4" w:space="0" w:color="auto"/>
            </w:tcBorders>
            <w:shd w:val="clear" w:color="auto" w:fill="auto"/>
            <w:noWrap/>
            <w:vAlign w:val="center"/>
          </w:tcPr>
          <w:p w:rsidR="00F52EFF" w:rsidRPr="002279E2" w:rsidRDefault="00F52EFF" w:rsidP="00F52EFF">
            <w:pPr>
              <w:jc w:val="right"/>
              <w:rPr>
                <w:rFonts w:eastAsia="Times New Roman" w:cs="Times New Roman"/>
                <w:color w:val="000000"/>
                <w:lang w:eastAsia="it-IT"/>
              </w:rPr>
            </w:pPr>
            <w:r w:rsidRPr="002279E2">
              <w:rPr>
                <w:rFonts w:eastAsia="Times New Roman" w:cs="Times New Roman"/>
                <w:color w:val="000000"/>
                <w:lang w:eastAsia="it-IT"/>
              </w:rPr>
              <w:t xml:space="preserve">€ 3.264.000 </w:t>
            </w:r>
          </w:p>
        </w:tc>
      </w:tr>
      <w:tr w:rsidR="00F52EFF" w:rsidRPr="002279E2" w:rsidTr="00F52EFF">
        <w:trPr>
          <w:trHeight w:val="52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EFF" w:rsidRPr="002279E2" w:rsidRDefault="00F52EFF" w:rsidP="00F52EFF">
            <w:pPr>
              <w:jc w:val="center"/>
              <w:rPr>
                <w:rFonts w:eastAsia="Times New Roman" w:cs="Times New Roman"/>
                <w:b/>
                <w:bCs/>
                <w:color w:val="000000"/>
                <w:lang w:eastAsia="it-IT"/>
              </w:rPr>
            </w:pPr>
            <w:r w:rsidRPr="002279E2">
              <w:rPr>
                <w:rFonts w:eastAsia="Times New Roman" w:cs="Times New Roman"/>
                <w:b/>
                <w:bCs/>
                <w:color w:val="000000"/>
                <w:lang w:eastAsia="it-IT"/>
              </w:rPr>
              <w:t>TOTALE</w:t>
            </w:r>
          </w:p>
        </w:tc>
        <w:tc>
          <w:tcPr>
            <w:tcW w:w="2410" w:type="dxa"/>
            <w:tcBorders>
              <w:top w:val="nil"/>
              <w:left w:val="nil"/>
              <w:bottom w:val="single" w:sz="4" w:space="0" w:color="auto"/>
              <w:right w:val="single" w:sz="4" w:space="0" w:color="auto"/>
            </w:tcBorders>
            <w:shd w:val="clear" w:color="auto" w:fill="auto"/>
            <w:noWrap/>
            <w:vAlign w:val="center"/>
            <w:hideMark/>
          </w:tcPr>
          <w:p w:rsidR="00F52EFF" w:rsidRPr="002279E2" w:rsidRDefault="00F52EFF" w:rsidP="00F52EFF">
            <w:pPr>
              <w:jc w:val="right"/>
              <w:rPr>
                <w:rFonts w:eastAsia="Times New Roman" w:cs="Times New Roman"/>
                <w:b/>
                <w:bCs/>
                <w:color w:val="000000"/>
                <w:lang w:eastAsia="it-IT"/>
              </w:rPr>
            </w:pPr>
            <w:r w:rsidRPr="002279E2">
              <w:rPr>
                <w:rFonts w:eastAsia="Times New Roman" w:cs="Times New Roman"/>
                <w:b/>
                <w:bCs/>
                <w:color w:val="000000"/>
                <w:lang w:eastAsia="it-IT"/>
              </w:rPr>
              <w:t xml:space="preserve">9.600 </w:t>
            </w:r>
          </w:p>
        </w:tc>
        <w:tc>
          <w:tcPr>
            <w:tcW w:w="1237" w:type="dxa"/>
            <w:tcBorders>
              <w:top w:val="single" w:sz="6" w:space="0" w:color="auto"/>
              <w:left w:val="nil"/>
              <w:bottom w:val="single" w:sz="4" w:space="0" w:color="auto"/>
              <w:right w:val="single" w:sz="6" w:space="0" w:color="auto"/>
            </w:tcBorders>
            <w:vAlign w:val="center"/>
          </w:tcPr>
          <w:p w:rsidR="00F52EFF" w:rsidRPr="002279E2" w:rsidDel="002E2BD7" w:rsidRDefault="00F52EFF" w:rsidP="00F52EFF">
            <w:pPr>
              <w:jc w:val="right"/>
              <w:rPr>
                <w:rFonts w:eastAsia="Times New Roman" w:cs="Times New Roman"/>
                <w:b/>
                <w:bCs/>
                <w:color w:val="000000"/>
                <w:lang w:eastAsia="it-IT"/>
              </w:rPr>
            </w:pPr>
            <w:r w:rsidRPr="002279E2">
              <w:rPr>
                <w:rFonts w:eastAsia="Times New Roman" w:cs="Times New Roman"/>
                <w:b/>
                <w:bCs/>
                <w:color w:val="000000"/>
                <w:lang w:eastAsia="it-IT"/>
              </w:rPr>
              <w:t xml:space="preserve">10% </w:t>
            </w:r>
          </w:p>
        </w:tc>
        <w:tc>
          <w:tcPr>
            <w:tcW w:w="1456" w:type="dxa"/>
            <w:tcBorders>
              <w:top w:val="single" w:sz="6" w:space="0" w:color="auto"/>
              <w:left w:val="single" w:sz="6" w:space="0" w:color="auto"/>
              <w:bottom w:val="single" w:sz="4" w:space="0" w:color="auto"/>
              <w:right w:val="single" w:sz="4" w:space="0" w:color="auto"/>
            </w:tcBorders>
            <w:vAlign w:val="center"/>
          </w:tcPr>
          <w:p w:rsidR="00F52EFF" w:rsidRPr="002279E2" w:rsidDel="002E2BD7" w:rsidRDefault="00F52EFF" w:rsidP="00F52EFF">
            <w:pPr>
              <w:jc w:val="right"/>
              <w:rPr>
                <w:rFonts w:eastAsia="Times New Roman" w:cs="Times New Roman"/>
                <w:b/>
                <w:bCs/>
                <w:color w:val="000000"/>
                <w:lang w:eastAsia="it-IT"/>
              </w:rPr>
            </w:pPr>
            <w:r w:rsidRPr="002279E2">
              <w:rPr>
                <w:rFonts w:eastAsia="Times New Roman" w:cs="Times New Roman"/>
                <w:b/>
                <w:bCs/>
                <w:color w:val="000000"/>
                <w:lang w:eastAsia="it-IT"/>
              </w:rPr>
              <w:t>960</w:t>
            </w:r>
          </w:p>
        </w:tc>
        <w:tc>
          <w:tcPr>
            <w:tcW w:w="2762" w:type="dxa"/>
            <w:tcBorders>
              <w:top w:val="nil"/>
              <w:left w:val="single" w:sz="4" w:space="0" w:color="auto"/>
              <w:bottom w:val="single" w:sz="4" w:space="0" w:color="auto"/>
              <w:right w:val="single" w:sz="4" w:space="0" w:color="auto"/>
            </w:tcBorders>
            <w:shd w:val="clear" w:color="auto" w:fill="auto"/>
            <w:noWrap/>
            <w:vAlign w:val="center"/>
          </w:tcPr>
          <w:p w:rsidR="00F52EFF" w:rsidRPr="002279E2" w:rsidRDefault="00F52EFF" w:rsidP="00F52EFF">
            <w:pPr>
              <w:jc w:val="right"/>
              <w:rPr>
                <w:rFonts w:eastAsia="Times New Roman" w:cs="Times New Roman"/>
                <w:b/>
                <w:bCs/>
                <w:color w:val="000000"/>
                <w:lang w:eastAsia="it-IT"/>
              </w:rPr>
            </w:pPr>
            <w:r w:rsidRPr="002279E2">
              <w:rPr>
                <w:rFonts w:eastAsia="Times New Roman" w:cs="Times New Roman"/>
                <w:b/>
                <w:bCs/>
                <w:color w:val="000000"/>
                <w:lang w:eastAsia="it-IT"/>
              </w:rPr>
              <w:t>€ 13.056.000</w:t>
            </w:r>
          </w:p>
        </w:tc>
      </w:tr>
    </w:tbl>
    <w:p w:rsidR="00F52EFF" w:rsidRPr="002279E2" w:rsidRDefault="00F52EFF" w:rsidP="00F52EFF">
      <w:pPr>
        <w:autoSpaceDE w:val="0"/>
        <w:autoSpaceDN w:val="0"/>
        <w:adjustRightInd w:val="0"/>
        <w:rPr>
          <w:rFonts w:cs="Times New Roman"/>
        </w:rPr>
      </w:pPr>
    </w:p>
    <w:p w:rsidR="00F52EFF" w:rsidRPr="002279E2" w:rsidRDefault="00F52EFF" w:rsidP="00F52EFF">
      <w:pPr>
        <w:rPr>
          <w:rFonts w:cs="Times New Roman"/>
        </w:rPr>
      </w:pPr>
      <w:r w:rsidRPr="002279E2">
        <w:rPr>
          <w:rFonts w:cs="Times New Roman"/>
        </w:rPr>
        <w:t xml:space="preserve">Pertanto, l’onere annuale calcolabile per gli anni di imposta tra il 2014 ed il 2016 è di circa 3.264.000 euro all'anno per complessivi circa 13 mln per il periodo 2013-2016. Tale onere è stimato per eccesso. </w:t>
      </w:r>
    </w:p>
    <w:p w:rsidR="00F52EFF" w:rsidRPr="002279E2" w:rsidRDefault="00F52EFF" w:rsidP="00F52EFF">
      <w:pPr>
        <w:rPr>
          <w:rFonts w:cs="Times New Roman"/>
        </w:rPr>
      </w:pPr>
      <w:r w:rsidRPr="002279E2">
        <w:rPr>
          <w:rFonts w:cs="Times New Roman"/>
        </w:rPr>
        <w:lastRenderedPageBreak/>
        <w:t>Considerata la tempistica di riscossione degli importi accertati, e in particolare la circostanza che le somme relative al 2013-2016 sarebbero state riscosse nel periodo 2019-2022, la tabella seguente riporta gli effetti finanziari negativi derivanti dall’introduzione della disposizione.</w:t>
      </w:r>
    </w:p>
    <w:p w:rsidR="00F52EFF" w:rsidRPr="002279E2" w:rsidRDefault="00F52EFF" w:rsidP="00F52EFF">
      <w:pPr>
        <w:autoSpaceDE w:val="0"/>
        <w:autoSpaceDN w:val="0"/>
        <w:adjustRightInd w:val="0"/>
        <w:rPr>
          <w:rFonts w:cs="Times New Roman"/>
        </w:rPr>
      </w:pPr>
    </w:p>
    <w:tbl>
      <w:tblPr>
        <w:tblStyle w:val="Grigliatabella"/>
        <w:tblW w:w="5000" w:type="pct"/>
        <w:tblLook w:val="04A0" w:firstRow="1" w:lastRow="0" w:firstColumn="1" w:lastColumn="0" w:noHBand="0" w:noVBand="1"/>
      </w:tblPr>
      <w:tblGrid>
        <w:gridCol w:w="2460"/>
        <w:gridCol w:w="1473"/>
        <w:gridCol w:w="1311"/>
        <w:gridCol w:w="1639"/>
        <w:gridCol w:w="1801"/>
        <w:gridCol w:w="1311"/>
      </w:tblGrid>
      <w:tr w:rsidR="00F52EFF" w:rsidRPr="002279E2" w:rsidTr="00F52EFF">
        <w:tc>
          <w:tcPr>
            <w:tcW w:w="1230" w:type="pct"/>
          </w:tcPr>
          <w:p w:rsidR="00F52EFF" w:rsidRPr="002279E2" w:rsidRDefault="00F52EFF" w:rsidP="00F52EFF">
            <w:pPr>
              <w:autoSpaceDE w:val="0"/>
              <w:autoSpaceDN w:val="0"/>
              <w:adjustRightInd w:val="0"/>
              <w:rPr>
                <w:rFonts w:cs="Times New Roman"/>
              </w:rPr>
            </w:pPr>
          </w:p>
        </w:tc>
        <w:tc>
          <w:tcPr>
            <w:tcW w:w="737" w:type="pct"/>
          </w:tcPr>
          <w:p w:rsidR="00F52EFF" w:rsidRPr="002279E2" w:rsidRDefault="00F52EFF" w:rsidP="00F52EFF">
            <w:pPr>
              <w:autoSpaceDE w:val="0"/>
              <w:autoSpaceDN w:val="0"/>
              <w:adjustRightInd w:val="0"/>
              <w:jc w:val="center"/>
              <w:rPr>
                <w:rFonts w:cs="Times New Roman"/>
              </w:rPr>
            </w:pPr>
            <w:r w:rsidRPr="002279E2">
              <w:rPr>
                <w:rFonts w:cs="Times New Roman"/>
              </w:rPr>
              <w:t>2019</w:t>
            </w:r>
          </w:p>
        </w:tc>
        <w:tc>
          <w:tcPr>
            <w:tcW w:w="656" w:type="pct"/>
          </w:tcPr>
          <w:p w:rsidR="00F52EFF" w:rsidRPr="002279E2" w:rsidRDefault="00F52EFF" w:rsidP="00F52EFF">
            <w:pPr>
              <w:autoSpaceDE w:val="0"/>
              <w:autoSpaceDN w:val="0"/>
              <w:adjustRightInd w:val="0"/>
              <w:jc w:val="center"/>
              <w:rPr>
                <w:rFonts w:cs="Times New Roman"/>
              </w:rPr>
            </w:pPr>
            <w:r w:rsidRPr="002279E2">
              <w:rPr>
                <w:rFonts w:cs="Times New Roman"/>
              </w:rPr>
              <w:t>2020</w:t>
            </w:r>
          </w:p>
        </w:tc>
        <w:tc>
          <w:tcPr>
            <w:tcW w:w="820" w:type="pct"/>
          </w:tcPr>
          <w:p w:rsidR="00F52EFF" w:rsidRPr="002279E2" w:rsidRDefault="00F52EFF" w:rsidP="00F52EFF">
            <w:pPr>
              <w:autoSpaceDE w:val="0"/>
              <w:autoSpaceDN w:val="0"/>
              <w:adjustRightInd w:val="0"/>
              <w:jc w:val="center"/>
              <w:rPr>
                <w:rFonts w:cs="Times New Roman"/>
              </w:rPr>
            </w:pPr>
            <w:r w:rsidRPr="002279E2">
              <w:rPr>
                <w:rFonts w:cs="Times New Roman"/>
              </w:rPr>
              <w:t>2021</w:t>
            </w:r>
          </w:p>
        </w:tc>
        <w:tc>
          <w:tcPr>
            <w:tcW w:w="901" w:type="pct"/>
          </w:tcPr>
          <w:p w:rsidR="00F52EFF" w:rsidRPr="002279E2" w:rsidRDefault="00F52EFF" w:rsidP="00F52EFF">
            <w:pPr>
              <w:autoSpaceDE w:val="0"/>
              <w:autoSpaceDN w:val="0"/>
              <w:adjustRightInd w:val="0"/>
              <w:jc w:val="center"/>
              <w:rPr>
                <w:rFonts w:cs="Times New Roman"/>
              </w:rPr>
            </w:pPr>
            <w:r w:rsidRPr="002279E2">
              <w:rPr>
                <w:rFonts w:cs="Times New Roman"/>
              </w:rPr>
              <w:t>2022</w:t>
            </w:r>
          </w:p>
        </w:tc>
        <w:tc>
          <w:tcPr>
            <w:tcW w:w="656" w:type="pct"/>
          </w:tcPr>
          <w:p w:rsidR="00F52EFF" w:rsidRPr="002279E2" w:rsidRDefault="00F52EFF" w:rsidP="00F52EFF">
            <w:pPr>
              <w:autoSpaceDE w:val="0"/>
              <w:autoSpaceDN w:val="0"/>
              <w:adjustRightInd w:val="0"/>
              <w:jc w:val="center"/>
              <w:rPr>
                <w:rFonts w:cs="Times New Roman"/>
              </w:rPr>
            </w:pPr>
            <w:r w:rsidRPr="002279E2">
              <w:rPr>
                <w:rFonts w:cs="Times New Roman"/>
              </w:rPr>
              <w:t>2023</w:t>
            </w:r>
          </w:p>
        </w:tc>
      </w:tr>
      <w:tr w:rsidR="00F52EFF" w:rsidRPr="002279E2" w:rsidTr="00F52EFF">
        <w:tc>
          <w:tcPr>
            <w:tcW w:w="1230" w:type="pct"/>
          </w:tcPr>
          <w:p w:rsidR="00F52EFF" w:rsidRPr="002279E2" w:rsidRDefault="00F52EFF" w:rsidP="00F52EFF">
            <w:pPr>
              <w:autoSpaceDE w:val="0"/>
              <w:autoSpaceDN w:val="0"/>
              <w:adjustRightInd w:val="0"/>
              <w:rPr>
                <w:rFonts w:cs="Times New Roman"/>
              </w:rPr>
            </w:pPr>
            <w:r w:rsidRPr="002279E2">
              <w:rPr>
                <w:rFonts w:cs="Times New Roman"/>
              </w:rPr>
              <w:t>Effetti finanziari</w:t>
            </w:r>
          </w:p>
        </w:tc>
        <w:tc>
          <w:tcPr>
            <w:tcW w:w="737" w:type="pct"/>
          </w:tcPr>
          <w:p w:rsidR="00F52EFF" w:rsidRPr="002279E2" w:rsidRDefault="00F52EFF" w:rsidP="00F52EFF">
            <w:pPr>
              <w:autoSpaceDE w:val="0"/>
              <w:autoSpaceDN w:val="0"/>
              <w:adjustRightInd w:val="0"/>
              <w:jc w:val="center"/>
              <w:rPr>
                <w:rFonts w:cs="Times New Roman"/>
              </w:rPr>
            </w:pPr>
            <w:r w:rsidRPr="002279E2">
              <w:rPr>
                <w:rFonts w:cs="Times New Roman"/>
              </w:rPr>
              <w:t>-3,3</w:t>
            </w:r>
          </w:p>
        </w:tc>
        <w:tc>
          <w:tcPr>
            <w:tcW w:w="656" w:type="pct"/>
          </w:tcPr>
          <w:p w:rsidR="00F52EFF" w:rsidRPr="002279E2" w:rsidRDefault="00F52EFF" w:rsidP="00F52EFF">
            <w:pPr>
              <w:autoSpaceDE w:val="0"/>
              <w:autoSpaceDN w:val="0"/>
              <w:adjustRightInd w:val="0"/>
              <w:jc w:val="center"/>
              <w:rPr>
                <w:rFonts w:cs="Times New Roman"/>
              </w:rPr>
            </w:pPr>
            <w:r w:rsidRPr="002279E2">
              <w:rPr>
                <w:rFonts w:cs="Times New Roman"/>
              </w:rPr>
              <w:t>-3,3</w:t>
            </w:r>
          </w:p>
        </w:tc>
        <w:tc>
          <w:tcPr>
            <w:tcW w:w="820" w:type="pct"/>
          </w:tcPr>
          <w:p w:rsidR="00F52EFF" w:rsidRPr="002279E2" w:rsidRDefault="00F52EFF" w:rsidP="00F52EFF">
            <w:pPr>
              <w:autoSpaceDE w:val="0"/>
              <w:autoSpaceDN w:val="0"/>
              <w:adjustRightInd w:val="0"/>
              <w:jc w:val="center"/>
              <w:rPr>
                <w:rFonts w:cs="Times New Roman"/>
              </w:rPr>
            </w:pPr>
            <w:r w:rsidRPr="002279E2">
              <w:rPr>
                <w:rFonts w:cs="Times New Roman"/>
              </w:rPr>
              <w:t>-3,3</w:t>
            </w:r>
          </w:p>
        </w:tc>
        <w:tc>
          <w:tcPr>
            <w:tcW w:w="901" w:type="pct"/>
          </w:tcPr>
          <w:p w:rsidR="00F52EFF" w:rsidRPr="002279E2" w:rsidRDefault="00F52EFF" w:rsidP="00F52EFF">
            <w:pPr>
              <w:autoSpaceDE w:val="0"/>
              <w:autoSpaceDN w:val="0"/>
              <w:adjustRightInd w:val="0"/>
              <w:jc w:val="center"/>
              <w:rPr>
                <w:rFonts w:cs="Times New Roman"/>
              </w:rPr>
            </w:pPr>
            <w:r w:rsidRPr="002279E2">
              <w:rPr>
                <w:rFonts w:cs="Times New Roman"/>
              </w:rPr>
              <w:t>-3,3</w:t>
            </w:r>
          </w:p>
        </w:tc>
        <w:tc>
          <w:tcPr>
            <w:tcW w:w="656" w:type="pct"/>
          </w:tcPr>
          <w:p w:rsidR="00F52EFF" w:rsidRPr="002279E2" w:rsidRDefault="00F52EFF" w:rsidP="00F52EFF">
            <w:pPr>
              <w:autoSpaceDE w:val="0"/>
              <w:autoSpaceDN w:val="0"/>
              <w:adjustRightInd w:val="0"/>
              <w:jc w:val="center"/>
              <w:rPr>
                <w:rFonts w:cs="Times New Roman"/>
              </w:rPr>
            </w:pPr>
            <w:r w:rsidRPr="002279E2">
              <w:rPr>
                <w:rFonts w:cs="Times New Roman"/>
              </w:rPr>
              <w:t>0</w:t>
            </w:r>
          </w:p>
        </w:tc>
      </w:tr>
    </w:tbl>
    <w:p w:rsidR="00F52EFF" w:rsidRPr="002279E2" w:rsidRDefault="00F52EFF" w:rsidP="00F52EFF">
      <w:pPr>
        <w:autoSpaceDE w:val="0"/>
        <w:autoSpaceDN w:val="0"/>
        <w:adjustRightInd w:val="0"/>
        <w:rPr>
          <w:rFonts w:cs="Times New Roman"/>
          <w:i/>
        </w:rPr>
      </w:pPr>
      <w:r w:rsidRPr="002279E2">
        <w:rPr>
          <w:rFonts w:cs="Times New Roman"/>
          <w:i/>
        </w:rPr>
        <w:t>Milioni di euro</w:t>
      </w:r>
    </w:p>
    <w:p w:rsidR="007E4FDC" w:rsidRPr="002279E2" w:rsidRDefault="007E4FDC" w:rsidP="00612935">
      <w:pPr>
        <w:rPr>
          <w:rFonts w:cs="Times New Roman"/>
          <w:lang w:eastAsia="it-IT"/>
        </w:rPr>
      </w:pPr>
    </w:p>
    <w:p w:rsidR="007E4FDC" w:rsidRPr="002279E2" w:rsidRDefault="007E4FDC" w:rsidP="00C87AB4">
      <w:pPr>
        <w:pStyle w:val="Titolo2"/>
      </w:pPr>
      <w:bookmarkStart w:id="16" w:name="_Toc4423342"/>
      <w:bookmarkStart w:id="17" w:name="_Toc6937334"/>
      <w:r w:rsidRPr="002279E2">
        <w:t xml:space="preserve">Articolo </w:t>
      </w:r>
      <w:r w:rsidR="00B30DBD" w:rsidRPr="002279E2">
        <w:t>6</w:t>
      </w:r>
      <w:r w:rsidRPr="002279E2">
        <w:br/>
        <w:t>(</w:t>
      </w:r>
      <w:r w:rsidR="00E00F01" w:rsidRPr="002279E2">
        <w:t>Modifiche al r</w:t>
      </w:r>
      <w:r w:rsidRPr="002279E2">
        <w:t xml:space="preserve">egime </w:t>
      </w:r>
      <w:r w:rsidR="00E00F01" w:rsidRPr="002279E2">
        <w:t xml:space="preserve">dei </w:t>
      </w:r>
      <w:r w:rsidRPr="002279E2">
        <w:t>forfetari)</w:t>
      </w:r>
      <w:bookmarkEnd w:id="16"/>
      <w:bookmarkEnd w:id="17"/>
    </w:p>
    <w:p w:rsidR="00AD5149" w:rsidRPr="002279E2" w:rsidRDefault="00AD5149" w:rsidP="00AD5149">
      <w:pPr>
        <w:rPr>
          <w:rFonts w:eastAsia="Calibri" w:cs="Times New Roman"/>
        </w:rPr>
      </w:pPr>
      <w:r w:rsidRPr="002279E2">
        <w:rPr>
          <w:rFonts w:eastAsia="Calibri" w:cs="Times New Roman"/>
        </w:rPr>
        <w:t>1.  All’articolo 1, comma 69, terzo periodo, della legge 23 dicembre 2014, n. 190, dopo le parole: “e successive modificazioni” sono aggiunte le seguenti: ”, ad eccezione delle ritenute di cui all’articolo 23 e 24 del medesimo decreto del Presidente della Repubblica n. 600 del 1973”.</w:t>
      </w:r>
    </w:p>
    <w:p w:rsidR="00AD5149" w:rsidRPr="002279E2" w:rsidRDefault="00AD5149" w:rsidP="00AD5149">
      <w:pPr>
        <w:rPr>
          <w:rFonts w:eastAsia="Calibri" w:cs="Times New Roman"/>
        </w:rPr>
      </w:pPr>
      <w:r w:rsidRPr="002279E2">
        <w:rPr>
          <w:rFonts w:eastAsia="Calibri" w:cs="Times New Roman"/>
        </w:rPr>
        <w:t>2. In deroga all’articolo 3 della legge 27 luglio 2000, n. 212, le disposizioni di cui al comma 1 hanno effetto a decorrere dal 1° gennaio 2019. L’ammontare complessivo delle ritenute di cui al comma 1, relative alle somme già corrisposte precedentemente alla data di entrata in vigore del presente decreto-legge, è trattenuto, a valere sulle retribuzioni corrisposte a partire dal terzo mese successivo a quello di entrata in vigore del presente decreto-legge, in tre rate mensili di uguale importo, e versato nei termini di cui all’articolo 8 del decreto del Presidente della Repubblica 29 settembre 1973, n. 602.</w:t>
      </w:r>
    </w:p>
    <w:p w:rsidR="00AD5149" w:rsidRPr="002279E2" w:rsidRDefault="00AD5149" w:rsidP="00AD5149">
      <w:pPr>
        <w:rPr>
          <w:rFonts w:eastAsia="Calibri" w:cs="Times New Roman"/>
        </w:rPr>
      </w:pPr>
      <w:r w:rsidRPr="002279E2">
        <w:rPr>
          <w:rFonts w:eastAsia="Calibri" w:cs="Times New Roman"/>
        </w:rPr>
        <w:t>3. All’articolo 1, comma 21, della legge 30 dicembre 2018, n. 145, dopo le parole: “decreto del Presidente della Repubblica 29 settembre 1973, n. 600” sono aggiunte le seguenti: ”, ad eccezione delle ritenute di cui all’articolo 23 e 24 del citato decreto”.</w:t>
      </w:r>
    </w:p>
    <w:p w:rsidR="00AD5149" w:rsidRPr="002279E2" w:rsidRDefault="00AD5149" w:rsidP="00AD5149">
      <w:pPr>
        <w:rPr>
          <w:rFonts w:eastAsia="Calibri" w:cs="Times New Roman"/>
        </w:rPr>
      </w:pPr>
    </w:p>
    <w:p w:rsidR="00AD5149" w:rsidRPr="002279E2" w:rsidRDefault="00AD5149" w:rsidP="005E06C3">
      <w:pPr>
        <w:jc w:val="center"/>
        <w:rPr>
          <w:rFonts w:eastAsia="Calibri" w:cs="Times New Roman"/>
          <w:b/>
        </w:rPr>
      </w:pPr>
      <w:r w:rsidRPr="002279E2">
        <w:rPr>
          <w:rFonts w:eastAsia="Calibri" w:cs="Times New Roman"/>
          <w:b/>
        </w:rPr>
        <w:t>Relazione illustrativa</w:t>
      </w:r>
    </w:p>
    <w:p w:rsidR="00AD5149" w:rsidRPr="002279E2" w:rsidRDefault="00AD5149" w:rsidP="00AD5149">
      <w:pPr>
        <w:rPr>
          <w:rFonts w:eastAsia="Calibri" w:cs="Times New Roman"/>
        </w:rPr>
      </w:pPr>
      <w:r w:rsidRPr="002279E2">
        <w:rPr>
          <w:rFonts w:eastAsia="Calibri" w:cs="Times New Roman"/>
        </w:rPr>
        <w:t>La norma adegua il regime forfetario, di cui all’art. 1, commi da 54 a 89 della legge 23 dicembre 2015, n. 190, a seguito delle modifiche allo stesso apportate con la legge 30 dicembre 2018, n. 145 (legge di bilancio 2019).</w:t>
      </w:r>
    </w:p>
    <w:p w:rsidR="00AD5149" w:rsidRPr="002279E2" w:rsidRDefault="00AD5149" w:rsidP="00AD5149">
      <w:pPr>
        <w:rPr>
          <w:rFonts w:eastAsia="Calibri" w:cs="Times New Roman"/>
        </w:rPr>
      </w:pPr>
      <w:r w:rsidRPr="002279E2">
        <w:rPr>
          <w:rFonts w:eastAsia="Calibri" w:cs="Times New Roman"/>
        </w:rPr>
        <w:t>In particolare, in considerazione della possibilità che dal 2019 i contribuenti che applicano il regime forfettario potranno avvalersi dell’impiego di dipendenti e collaboratori - conseguente alle modifiche apportate al regime in esame dall’articolo 1, comma 9, della legge n. 145 del 2018, che ha eliminato la soglia di 5.000 euro riferita alle spese sostenute per l’impiego di lavoratori, al di sopra della quale non era consentito l’accesso al regime forfettario - viene chiarito che i contribuenti che applicano il regime forfettario devono effettuare le ritenute alla fonte sui redditi di lavoro dipendente e sui redditi assimilati a quelli di lavoro dipendente di cui, rispettivamente, agli articoli 23 e 24 del decreto del Presidente della Repubblica n. 600 del 1973.</w:t>
      </w:r>
    </w:p>
    <w:p w:rsidR="00AD5149" w:rsidRPr="002279E2" w:rsidRDefault="00AD5149" w:rsidP="00AD5149">
      <w:pPr>
        <w:rPr>
          <w:rFonts w:eastAsia="Calibri" w:cs="Times New Roman"/>
        </w:rPr>
      </w:pPr>
      <w:r w:rsidRPr="002279E2">
        <w:rPr>
          <w:rFonts w:eastAsia="Calibri" w:cs="Times New Roman"/>
        </w:rPr>
        <w:t xml:space="preserve">La disposizione semplifica per i lavoratori interessati la gestione degli adempimenti fiscali evitando ai medesimi l’obbligo di presentare la dichiarazione dei redditi allo scopo di liquidare l’Irpef, nonché le addizionali regionali e comunali. Peraltro, si sottolinea che dal punto di vista degli adempimenti del datore di lavoro, questi ha già, comunque, l’obbligo di assolvere tutti gli adempimenti previdenziali, liquidando mensilmente i contributi a proprio carico e quelli trattenuti al lavoratore, versando tramite modello F24 gli stessi, nonché presentando tutte le relative comunicazioni previdenziali e assicurative agli enti di pertinenza. Conseguentemente per il datore di lavoro, non si configura un sostanziale aggravio di adempimenti. </w:t>
      </w:r>
    </w:p>
    <w:p w:rsidR="00AD5149" w:rsidRPr="002279E2" w:rsidRDefault="00AD5149" w:rsidP="00AD5149">
      <w:pPr>
        <w:rPr>
          <w:rFonts w:eastAsia="Calibri" w:cs="Times New Roman"/>
        </w:rPr>
      </w:pPr>
      <w:r w:rsidRPr="002279E2">
        <w:rPr>
          <w:rFonts w:eastAsia="Calibri" w:cs="Times New Roman"/>
        </w:rPr>
        <w:t>Allo scopo di rendere, per il lavoratore, maggiormente sostenibile l’impatto delle ritenute fiscali dei primi mesi del 2019, la disposizione prevede il loro frazionamento in tre rate mensili.</w:t>
      </w:r>
    </w:p>
    <w:p w:rsidR="00AD5149" w:rsidRPr="002279E2" w:rsidRDefault="00AD5149" w:rsidP="00AD5149">
      <w:pPr>
        <w:rPr>
          <w:rFonts w:eastAsia="Calibri" w:cs="Times New Roman"/>
        </w:rPr>
      </w:pPr>
      <w:r w:rsidRPr="002279E2">
        <w:rPr>
          <w:rFonts w:eastAsia="Calibri" w:cs="Times New Roman"/>
        </w:rPr>
        <w:t>Al comma 3, la disposizione integra la disciplina dell’imposta sostitutiva introdotta per esercenti attività d’impresa, arti e professioni in forma individuale, di cui all’articolo 1, comma 17 e seguenti, della legge n. 145 del 2018 (disposizione la cui efficacia è rinviata al 2020) chiarendo che i contribuenti che applicano l’imposta sostitutiva sono tenuti a effettuare le ritenute alla fonte sui redditi di lavoro dipendente e sui redditi assimilati a quelli di lavoro dipendente di cui, rispettivamente, agli articoli 23 e 24 del decreto del Presidente della Repubblica n. 600 del 1973.</w:t>
      </w:r>
    </w:p>
    <w:p w:rsidR="00AD5149" w:rsidRPr="002279E2" w:rsidRDefault="00AD5149" w:rsidP="00AD5149">
      <w:pPr>
        <w:rPr>
          <w:rFonts w:eastAsia="Calibri" w:cs="Times New Roman"/>
        </w:rPr>
      </w:pPr>
    </w:p>
    <w:p w:rsidR="00AD5149" w:rsidRPr="002279E2" w:rsidRDefault="00AD5149" w:rsidP="005E06C3">
      <w:pPr>
        <w:jc w:val="center"/>
        <w:rPr>
          <w:rFonts w:eastAsia="Calibri" w:cs="Times New Roman"/>
          <w:b/>
        </w:rPr>
      </w:pPr>
      <w:r w:rsidRPr="002279E2">
        <w:rPr>
          <w:rFonts w:eastAsia="Calibri" w:cs="Times New Roman"/>
          <w:b/>
        </w:rPr>
        <w:t>Relazione tecnica</w:t>
      </w:r>
    </w:p>
    <w:p w:rsidR="00AD5149" w:rsidRPr="002279E2" w:rsidRDefault="00AD5149" w:rsidP="00AD5149">
      <w:pPr>
        <w:rPr>
          <w:rFonts w:eastAsia="Calibri" w:cs="Times New Roman"/>
        </w:rPr>
      </w:pPr>
      <w:r w:rsidRPr="002279E2">
        <w:rPr>
          <w:rFonts w:eastAsia="Calibri" w:cs="Times New Roman"/>
        </w:rPr>
        <w:t xml:space="preserve">La disposizione chiarisce che i contribuenti che applicano il regime forfettario e che si avvalgono dell’impiego di dipendenti e collaboratori - conseguente alle modifiche apportate al regime in esame dall’articolo 1, comma 9, della legge n. 145 del 2018, che ha eliminato la soglia di 5.000 euro riferita alle spese sostenute per l’impiego di lavoratori, al di sopra della quale non era consentito l’accesso al regime forfettario - devono </w:t>
      </w:r>
      <w:r w:rsidRPr="002279E2">
        <w:rPr>
          <w:rFonts w:eastAsia="Calibri" w:cs="Times New Roman"/>
        </w:rPr>
        <w:lastRenderedPageBreak/>
        <w:t>effettuare le ritenute alla fonte sui redditi di lavoro dipendente e sui redditi assimilati a quelli di lavoro dipendente.</w:t>
      </w:r>
    </w:p>
    <w:p w:rsidR="00AD5149" w:rsidRPr="002279E2" w:rsidRDefault="00AD5149" w:rsidP="00AD5149">
      <w:pPr>
        <w:rPr>
          <w:rFonts w:eastAsia="Calibri" w:cs="Times New Roman"/>
        </w:rPr>
      </w:pPr>
      <w:r w:rsidRPr="002279E2">
        <w:rPr>
          <w:rFonts w:eastAsia="Calibri" w:cs="Times New Roman"/>
        </w:rPr>
        <w:t xml:space="preserve">Analoga disposizione viene prevista per i contribuenti che ricadranno nel nuovo regime sostitutivo introdotto dalla Legge n. 145/2018 (Bilancio 2019), applicabile nel caso di ricavi/compensi da euro 65.001 e 100.000. </w:t>
      </w:r>
    </w:p>
    <w:p w:rsidR="00AD5149" w:rsidRPr="002279E2" w:rsidRDefault="00AD5149" w:rsidP="00AD5149">
      <w:pPr>
        <w:rPr>
          <w:rFonts w:eastAsia="Calibri" w:cs="Times New Roman"/>
        </w:rPr>
      </w:pPr>
      <w:r w:rsidRPr="002279E2">
        <w:rPr>
          <w:rFonts w:eastAsia="Calibri" w:cs="Times New Roman"/>
        </w:rPr>
        <w:t>Alle disposizioni non si ascrivono effetti, trattandosi di meri chiarimenti.</w:t>
      </w:r>
    </w:p>
    <w:p w:rsidR="00E00F01" w:rsidRPr="002279E2" w:rsidRDefault="00E00F01" w:rsidP="00612935">
      <w:pPr>
        <w:rPr>
          <w:rFonts w:cs="Times New Roman"/>
        </w:rPr>
      </w:pPr>
    </w:p>
    <w:p w:rsidR="007E4FDC" w:rsidRPr="002279E2" w:rsidRDefault="007E4FDC" w:rsidP="00E54B23">
      <w:pPr>
        <w:pStyle w:val="Titolo2"/>
      </w:pPr>
      <w:bookmarkStart w:id="18" w:name="_Toc4423343"/>
      <w:bookmarkStart w:id="19" w:name="_Toc6937335"/>
      <w:r w:rsidRPr="002279E2">
        <w:t xml:space="preserve">Articolo </w:t>
      </w:r>
      <w:r w:rsidR="00B30DBD" w:rsidRPr="002279E2">
        <w:t>7</w:t>
      </w:r>
      <w:r w:rsidRPr="002279E2">
        <w:br/>
        <w:t>(Incentivi per la valorizzazione edilizia)</w:t>
      </w:r>
      <w:bookmarkEnd w:id="18"/>
      <w:bookmarkEnd w:id="19"/>
    </w:p>
    <w:p w:rsidR="00DE554B" w:rsidRPr="002279E2" w:rsidRDefault="00DE554B" w:rsidP="00AA05D7">
      <w:pPr>
        <w:autoSpaceDE w:val="0"/>
        <w:autoSpaceDN w:val="0"/>
        <w:adjustRightInd w:val="0"/>
        <w:rPr>
          <w:rFonts w:cs="Times New Roman"/>
          <w:color w:val="000000"/>
        </w:rPr>
      </w:pPr>
      <w:r w:rsidRPr="002279E2">
        <w:rPr>
          <w:rFonts w:cs="Times New Roman"/>
          <w:color w:val="000000"/>
        </w:rPr>
        <w:t>1. Sino al 31 dicembre 2021, per i trasferimenti di interi fabbricati, a favore di imprese di costruzione o di ristrutturazione immobiliare che, entro i successivi dieci anni, provvedano alla demolizione e ricostruzione degli stessi, in chiave antisismica e con il conseguimento della classe energetica A o B, anche con variazione volumetrica risp</w:t>
      </w:r>
      <w:r w:rsidR="006C1CC4" w:rsidRPr="002279E2">
        <w:rPr>
          <w:rFonts w:cs="Times New Roman"/>
          <w:color w:val="000000"/>
        </w:rPr>
        <w:t>etto al fabbricato preesistente</w:t>
      </w:r>
      <w:r w:rsidRPr="002279E2">
        <w:rPr>
          <w:rFonts w:cs="Times New Roman"/>
          <w:color w:val="000000"/>
        </w:rPr>
        <w:t xml:space="preserve"> </w:t>
      </w:r>
      <w:r w:rsidRPr="0024187C">
        <w:rPr>
          <w:rFonts w:cs="Times New Roman"/>
          <w:color w:val="000000"/>
        </w:rPr>
        <w:t xml:space="preserve">ove </w:t>
      </w:r>
      <w:r w:rsidR="006C1CC4" w:rsidRPr="0024187C">
        <w:rPr>
          <w:rFonts w:cs="Times New Roman"/>
          <w:color w:val="000000"/>
        </w:rPr>
        <w:t xml:space="preserve">consentita dalle vigenti </w:t>
      </w:r>
      <w:r w:rsidRPr="0024187C">
        <w:rPr>
          <w:rFonts w:cs="Times New Roman"/>
          <w:color w:val="000000"/>
        </w:rPr>
        <w:t>norme urbanistiche</w:t>
      </w:r>
      <w:r w:rsidRPr="002279E2">
        <w:rPr>
          <w:rFonts w:cs="Times New Roman"/>
          <w:color w:val="000000"/>
        </w:rPr>
        <w:t>, nonché all’alienazione degli stessi, si applicano l’imposta di registro e le imposte ipotecaria e catastale nella misura fissa di euro duecento ciascuna. Nel caso in cui non si verificano le condizioni di cui al precedente periodo, sono dovute le imposte di registro, ipotecaria e catastale nella misura ordinaria, nonché una sanzione pari al 30 per cento delle stesse imposte. Sono altresì dovuti gli interessi di mora a decorrere dall’acquisto dell’immobile di cui al precedente periodo.</w:t>
      </w:r>
    </w:p>
    <w:p w:rsidR="00AA05D7" w:rsidRPr="002279E2" w:rsidRDefault="00AA05D7" w:rsidP="00AA05D7">
      <w:pPr>
        <w:autoSpaceDE w:val="0"/>
        <w:autoSpaceDN w:val="0"/>
        <w:adjustRightInd w:val="0"/>
        <w:rPr>
          <w:rFonts w:cs="Times New Roman"/>
          <w:b/>
          <w:color w:val="000000"/>
        </w:rPr>
      </w:pPr>
    </w:p>
    <w:p w:rsidR="00DE554B" w:rsidRPr="002279E2" w:rsidRDefault="00DE554B" w:rsidP="00DE554B">
      <w:pPr>
        <w:jc w:val="center"/>
        <w:rPr>
          <w:rFonts w:cs="Times New Roman"/>
          <w:b/>
          <w:color w:val="000000"/>
        </w:rPr>
      </w:pPr>
      <w:r w:rsidRPr="002279E2">
        <w:rPr>
          <w:rFonts w:cs="Times New Roman"/>
          <w:b/>
          <w:color w:val="000000"/>
        </w:rPr>
        <w:t>Relazione illustrativa</w:t>
      </w:r>
    </w:p>
    <w:p w:rsidR="00DE554B" w:rsidRPr="002279E2" w:rsidRDefault="00DE554B" w:rsidP="00DE554B">
      <w:pPr>
        <w:autoSpaceDE w:val="0"/>
        <w:autoSpaceDN w:val="0"/>
      </w:pPr>
      <w:r w:rsidRPr="002279E2">
        <w:rPr>
          <w:color w:val="000000"/>
        </w:rPr>
        <w:t xml:space="preserve">Da tempo è evidente la necessità di incentivare la permuta tra vecchi edifici e immobili con caratteristiche energetiche e sismiche completamente rinnovate, quale strumento indispensabile per avviare un reale processo di rigenerazione urbana. Incentivare fiscalmente queste operazioni potrebbe, infatti, innescare un circolo virtuoso di scambi immobiliari diretti a prodotti sempre più innovativi e performanti. </w:t>
      </w:r>
    </w:p>
    <w:p w:rsidR="00DE554B" w:rsidRPr="002279E2" w:rsidRDefault="00DE554B" w:rsidP="00DE554B">
      <w:pPr>
        <w:autoSpaceDE w:val="0"/>
        <w:autoSpaceDN w:val="0"/>
      </w:pPr>
      <w:r w:rsidRPr="002279E2">
        <w:rPr>
          <w:color w:val="000000"/>
        </w:rPr>
        <w:t xml:space="preserve">Tuttavia, l’attuale regime fiscale prevede l’applicazione dell’imposta di registro pari al 9% del valore dell’immobile dichiarato in atto, più le ipotecarie e catastali complessivamente pari a 100 euro. Si tratta di imposte indetraibili per l’impresa che, come tali, incidono fortemente sui costi di costruzione. E’, quindi, evidente la necessità di neutralizzare l’incidenza della variabile fiscale nella fase iniziale e propedeutica all’attuazione dei programmi </w:t>
      </w:r>
    </w:p>
    <w:p w:rsidR="00DE554B" w:rsidRPr="002279E2" w:rsidRDefault="00DE554B" w:rsidP="00DE554B">
      <w:pPr>
        <w:autoSpaceDE w:val="0"/>
        <w:autoSpaceDN w:val="0"/>
      </w:pPr>
      <w:r w:rsidRPr="002279E2">
        <w:rPr>
          <w:color w:val="000000"/>
        </w:rPr>
        <w:t xml:space="preserve">Pertanto, allo scopo di rendere economicamente sostenibile le operazioni di scambio del vecchio con il nuovo fabbricato e una effettiva rigenerazione del territorio che passa solo con gli interventi di sostituzione edilizia, dovrebbe essere garantito un regime di tassazione agevolata all’impresa che si rendesse disponibile ad acquistare, anche in permuta, interi stabili condominiali, a condizione di demolirli e ricostruirli (anche con variazione di sagoma e volumetria urbanisticamente consentite) e reimmetterli sul mercato con caratteristiche energetiche e strutturali decisamente migliorate rispetto alla situazione preesistente. </w:t>
      </w:r>
    </w:p>
    <w:p w:rsidR="00DE554B" w:rsidRPr="002279E2" w:rsidRDefault="00DE554B" w:rsidP="00DE554B">
      <w:pPr>
        <w:autoSpaceDE w:val="0"/>
        <w:autoSpaceDN w:val="0"/>
      </w:pPr>
      <w:r w:rsidRPr="002279E2">
        <w:rPr>
          <w:color w:val="000000"/>
        </w:rPr>
        <w:t xml:space="preserve">Per questo, con la norma acclusa, s’intende introdurre, in via temporanea sino al 31 dicembre 2021, un regime di tassazione agevolata, consistente nell’applicazione delle imposte di registro, ipotecarie e catastali in misura fissa (200 euro ciascuna, per un importo complessivo di 600 euro), ai trasferimenti di fabbricati, acquisiti da imprese di costruzione o di ristrutturazione immobiliare che, entro i successivi 10 anni, provvedano alla loro demolizione e ricostruzione in chiave energetica e antisismica, anche con variazione volumetrica, e alla loro successiva vendita. </w:t>
      </w:r>
    </w:p>
    <w:p w:rsidR="00DE554B" w:rsidRPr="002279E2" w:rsidRDefault="00DE554B" w:rsidP="00DE554B">
      <w:pPr>
        <w:rPr>
          <w:color w:val="000000"/>
        </w:rPr>
      </w:pPr>
      <w:r w:rsidRPr="002279E2">
        <w:rPr>
          <w:color w:val="000000"/>
        </w:rPr>
        <w:t>Viene, altresì, previsto un regime sanzionatorio in caso di mancato rispetto delle condizioni d’accesso all’agevolazione.</w:t>
      </w:r>
    </w:p>
    <w:p w:rsidR="00AA05D7" w:rsidRPr="002279E2" w:rsidRDefault="00AA05D7" w:rsidP="00DE554B"/>
    <w:p w:rsidR="00DE554B" w:rsidRPr="002279E2" w:rsidRDefault="00DE554B" w:rsidP="00DE554B">
      <w:pPr>
        <w:jc w:val="center"/>
        <w:rPr>
          <w:rFonts w:cs="Times New Roman"/>
          <w:b/>
        </w:rPr>
      </w:pPr>
      <w:r w:rsidRPr="002279E2">
        <w:rPr>
          <w:rFonts w:eastAsia="SimSun" w:cs="Times New Roman"/>
          <w:b/>
          <w:bCs/>
          <w:iCs/>
          <w:kern w:val="32"/>
          <w:lang w:eastAsia="zh-CN"/>
        </w:rPr>
        <w:t>Relazione tecnica</w:t>
      </w:r>
    </w:p>
    <w:p w:rsidR="00DE554B" w:rsidRPr="002279E2" w:rsidRDefault="00DE554B" w:rsidP="00DE554B">
      <w:r w:rsidRPr="002279E2">
        <w:rPr>
          <w:lang w:eastAsia="it-IT"/>
        </w:rPr>
        <w:t xml:space="preserve">La disposizione in materia di incentivi alla rigenerazione urbana introduce alcune agevolazioni relative alla cessione in permuta di immobili abitativi da parte di soggetti non IVA, a favore di società che abbiano per attività esclusiva o prevalente la costruzione, il recupero, </w:t>
      </w:r>
      <w:r w:rsidRPr="002279E2">
        <w:rPr>
          <w:color w:val="000000"/>
        </w:rPr>
        <w:t xml:space="preserve">in chiave antisismica e </w:t>
      </w:r>
      <w:r w:rsidRPr="002279E2">
        <w:rPr>
          <w:lang w:eastAsia="it-IT"/>
        </w:rPr>
        <w:t>con il conseguimento della classe energetica A o B</w:t>
      </w:r>
      <w:r w:rsidRPr="002279E2">
        <w:rPr>
          <w:b/>
          <w:bCs/>
          <w:lang w:eastAsia="it-IT"/>
        </w:rPr>
        <w:t>,</w:t>
      </w:r>
      <w:r w:rsidRPr="002279E2">
        <w:rPr>
          <w:lang w:eastAsia="it-IT"/>
        </w:rPr>
        <w:t xml:space="preserve"> e la rivendita di beni immobili. </w:t>
      </w:r>
    </w:p>
    <w:p w:rsidR="00DE554B" w:rsidRPr="002279E2" w:rsidRDefault="00DE554B" w:rsidP="00DE554B">
      <w:r w:rsidRPr="002279E2">
        <w:rPr>
          <w:lang w:eastAsia="it-IT"/>
        </w:rPr>
        <w:t>In particolare ai trasferimenti in permuta di immobili, ceduti da soggetti non IVA a costruttori o ristrutturatori che entro 10 anni effettuino interventi di recupero con il conseguimento della classe energetica A o B, si applicano le imposte di registro, ipotecarie e catastali in misura fissa, pari a 200 euro ciascuna, in sostituzione dell’aliquota del 9% per l’imposta di registro e di 100 euro per le imposte ipocatastali previste dalla normativa 2014.</w:t>
      </w:r>
    </w:p>
    <w:p w:rsidR="00DE554B" w:rsidRPr="002279E2" w:rsidRDefault="00DE554B" w:rsidP="00DE554B">
      <w:r w:rsidRPr="002279E2">
        <w:rPr>
          <w:lang w:eastAsia="it-IT"/>
        </w:rPr>
        <w:lastRenderedPageBreak/>
        <w:t>Dall’archivio del Registro (anno di imposta 2016) sono stati estratti i trasferimenti di immobili verso i soggetti interessati dalla proposta che risultano circa 5.000 con un valore dichiarato complessivo di circa 840 milioni di euro.</w:t>
      </w:r>
    </w:p>
    <w:p w:rsidR="00DE554B" w:rsidRPr="002279E2" w:rsidRDefault="00DE554B" w:rsidP="00DE554B">
      <w:r w:rsidRPr="002279E2">
        <w:rPr>
          <w:lang w:eastAsia="it-IT"/>
        </w:rPr>
        <w:t xml:space="preserve">Per poter individuare gli interventi di ricostruzione post demolizione si è calcolato il rapporto tra il numero di immobili dei centri storici (che non possono essere demoliti) e il numero totale degli immobili in Italia. Tale rapporto può essere considerato un indice di “non abbattimento” degli immobili e risulta essere di circa il 33%. Al fine di tener conto anche di tutti gli edifici sottoposti a vincoli paesaggistici, la percentuale sopra indicata è stata elevata al 45%; sulla base di queste informazioni, si stima che solo il 55% dei trasferimenti saranno interessati dalla proposta. </w:t>
      </w:r>
    </w:p>
    <w:p w:rsidR="00DE554B" w:rsidRPr="002279E2" w:rsidRDefault="00DE554B" w:rsidP="00DE554B">
      <w:r w:rsidRPr="002279E2">
        <w:rPr>
          <w:lang w:eastAsia="it-IT"/>
        </w:rPr>
        <w:t xml:space="preserve">Calcolando il gettito a normativa vigente e quello stimato sulla base della disposizione in esame, si ottiene una perdita di circa 40 milioni di euro su base annua. </w:t>
      </w:r>
    </w:p>
    <w:p w:rsidR="00DE554B" w:rsidRPr="002279E2" w:rsidRDefault="00DE554B" w:rsidP="00DE554B">
      <w:r w:rsidRPr="002279E2">
        <w:rPr>
          <w:lang w:eastAsia="it-IT"/>
        </w:rPr>
        <w:t>Per il 2019, considerando la decorrenza dal 1° aprile 2019, si stima una perdita di gettito di circa 30 milioni di euro.</w:t>
      </w:r>
    </w:p>
    <w:p w:rsidR="007E4FDC" w:rsidRPr="002279E2" w:rsidRDefault="007E4FDC" w:rsidP="00612935">
      <w:pPr>
        <w:rPr>
          <w:rFonts w:cs="Times New Roman"/>
          <w:lang w:eastAsia="it-IT"/>
        </w:rPr>
      </w:pPr>
    </w:p>
    <w:p w:rsidR="007E4FDC" w:rsidRPr="002279E2" w:rsidRDefault="007E4FDC" w:rsidP="00E54B23">
      <w:pPr>
        <w:pStyle w:val="Titolo2"/>
      </w:pPr>
      <w:bookmarkStart w:id="20" w:name="_Toc4423344"/>
      <w:bookmarkStart w:id="21" w:name="_Toc6937336"/>
      <w:r w:rsidRPr="002279E2">
        <w:t xml:space="preserve">Articolo </w:t>
      </w:r>
      <w:r w:rsidR="00B30DBD" w:rsidRPr="002279E2">
        <w:t>8</w:t>
      </w:r>
      <w:r w:rsidRPr="002279E2">
        <w:br/>
        <w:t>(Sisma bonus)</w:t>
      </w:r>
      <w:bookmarkEnd w:id="20"/>
      <w:bookmarkEnd w:id="21"/>
    </w:p>
    <w:p w:rsidR="00FB126F" w:rsidRPr="002279E2" w:rsidRDefault="00FB126F" w:rsidP="00612935">
      <w:pPr>
        <w:autoSpaceDE w:val="0"/>
        <w:autoSpaceDN w:val="0"/>
        <w:adjustRightInd w:val="0"/>
        <w:rPr>
          <w:rFonts w:cs="Times New Roman"/>
        </w:rPr>
      </w:pPr>
      <w:r w:rsidRPr="002279E2">
        <w:rPr>
          <w:rFonts w:cs="Times New Roman"/>
        </w:rPr>
        <w:t>All’art.16, comma 1-septies, del decreto legge 4 giugno 2013, n. 63, convertito con modificazioni nella legge 3 agosto 2013, n.90, le parole “zone classificate a rischio sismico 1” sono sostituite dalle seguenti “zone classificate a rischio sismico 1, 2 e 3”.</w:t>
      </w:r>
    </w:p>
    <w:p w:rsidR="00FB126F" w:rsidRPr="002279E2" w:rsidRDefault="00FB126F" w:rsidP="00612935">
      <w:pPr>
        <w:autoSpaceDE w:val="0"/>
        <w:autoSpaceDN w:val="0"/>
        <w:adjustRightInd w:val="0"/>
        <w:rPr>
          <w:rFonts w:cs="Times New Roman"/>
        </w:rPr>
      </w:pPr>
      <w:r w:rsidRPr="002279E2">
        <w:rPr>
          <w:rFonts w:cs="Times New Roman"/>
        </w:rPr>
        <w:t xml:space="preserve"> </w:t>
      </w:r>
    </w:p>
    <w:p w:rsidR="00FB126F" w:rsidRPr="002279E2" w:rsidRDefault="00FB126F" w:rsidP="00612935">
      <w:pPr>
        <w:autoSpaceDE w:val="0"/>
        <w:autoSpaceDN w:val="0"/>
        <w:adjustRightInd w:val="0"/>
        <w:jc w:val="center"/>
        <w:rPr>
          <w:rFonts w:cs="Times New Roman"/>
          <w:b/>
        </w:rPr>
      </w:pPr>
      <w:r w:rsidRPr="002279E2">
        <w:rPr>
          <w:rFonts w:cs="Times New Roman"/>
          <w:b/>
        </w:rPr>
        <w:t>Relazione illustrativa</w:t>
      </w:r>
    </w:p>
    <w:p w:rsidR="00FB126F" w:rsidRPr="002279E2" w:rsidRDefault="00FB126F" w:rsidP="00612935">
      <w:pPr>
        <w:autoSpaceDE w:val="0"/>
        <w:autoSpaceDN w:val="0"/>
        <w:adjustRightInd w:val="0"/>
        <w:rPr>
          <w:rFonts w:cs="Times New Roman"/>
        </w:rPr>
      </w:pPr>
      <w:r w:rsidRPr="002279E2">
        <w:rPr>
          <w:rFonts w:cs="Times New Roman"/>
        </w:rPr>
        <w:t xml:space="preserve">La modifica persegue la finalità di estendere, nei comuni ricadenti nelle zone classificate a rischio sismico nelle zone 2 e 3, la spettanza delle agevolazioni previste nel comma 1-septies del d.l. n. 63 del 2013 e consistenti nel diritto alla detrazione del 75 per cento (a fronte della riduzione del rischio sismico che determini il passaggio ad una classe di rischio inferiore) o dell’85 per cento (a fronte della riduzione del rischio sismico che determini il passaggio a due classi di rischio inferiore) del prezzo di acquisto dell’unità immobiliare, calcolato su un ammontare massimo di spesa non superiore a 96.000 euro, venduta da imprese di ricostruzione o ristrutturazione immobiliare che abbiano demolito o ricostruito, allo scopo di ridurne il rischio sismico, anche con variazione volumetrica, l’immobile oggetto di successiva alienazione. </w:t>
      </w:r>
    </w:p>
    <w:p w:rsidR="00FB126F" w:rsidRPr="002279E2" w:rsidRDefault="00FB126F" w:rsidP="00612935">
      <w:pPr>
        <w:autoSpaceDE w:val="0"/>
        <w:autoSpaceDN w:val="0"/>
        <w:adjustRightInd w:val="0"/>
        <w:rPr>
          <w:rFonts w:cs="Times New Roman"/>
        </w:rPr>
      </w:pPr>
      <w:r w:rsidRPr="002279E2">
        <w:rPr>
          <w:rFonts w:cs="Times New Roman"/>
        </w:rPr>
        <w:t xml:space="preserve">  </w:t>
      </w:r>
    </w:p>
    <w:p w:rsidR="00FB126F" w:rsidRPr="002279E2" w:rsidRDefault="00FB126F" w:rsidP="00612935">
      <w:pPr>
        <w:autoSpaceDE w:val="0"/>
        <w:autoSpaceDN w:val="0"/>
        <w:adjustRightInd w:val="0"/>
        <w:jc w:val="center"/>
        <w:rPr>
          <w:rFonts w:cs="Times New Roman"/>
          <w:b/>
        </w:rPr>
      </w:pPr>
      <w:r w:rsidRPr="002279E2">
        <w:rPr>
          <w:rFonts w:cs="Times New Roman"/>
          <w:b/>
        </w:rPr>
        <w:t>Relazione tecnica</w:t>
      </w:r>
    </w:p>
    <w:p w:rsidR="00FB126F" w:rsidRPr="002279E2" w:rsidRDefault="00FB126F" w:rsidP="00612935">
      <w:pPr>
        <w:rPr>
          <w:rFonts w:eastAsia="Times New Roman" w:cs="Times New Roman"/>
          <w:lang w:eastAsia="it-IT"/>
        </w:rPr>
      </w:pPr>
      <w:r w:rsidRPr="002279E2">
        <w:rPr>
          <w:rFonts w:eastAsia="Times New Roman" w:cs="Times New Roman"/>
          <w:lang w:eastAsia="it-IT"/>
        </w:rPr>
        <w:t xml:space="preserve">La disposizione estende i benefici previsti dall’art. 46-quater del decreto legge n. 50 del 2017 agli immobili situati nelle zone classificate a “rischio sismico 2 e 3”. In particolare interviene sulle detrazioni per le spese di rafforzamento antisismico nel caso di demolizione e ricostruzione di interi edifici, anche con variazione volumetrica rispetto a quella preesistente, eseguiti da imprese di costruzione o ristrutturazione immobiliare, che provvedono, entro 18 mesi dal termine lavori, alla successiva alienazione dell’immobile. </w:t>
      </w:r>
    </w:p>
    <w:p w:rsidR="00FB126F" w:rsidRPr="002279E2" w:rsidRDefault="00FB126F" w:rsidP="00612935">
      <w:pPr>
        <w:rPr>
          <w:rFonts w:eastAsia="Times New Roman" w:cs="Times New Roman"/>
          <w:lang w:eastAsia="it-IT"/>
        </w:rPr>
      </w:pPr>
      <w:r w:rsidRPr="002279E2">
        <w:rPr>
          <w:rFonts w:eastAsia="Times New Roman" w:cs="Times New Roman"/>
          <w:lang w:eastAsia="it-IT"/>
        </w:rPr>
        <w:t xml:space="preserve">La detrazione, pari al 75 per cento o all’85 per cento (a seconda della riduzione del rischio sismico rispettivamente pari a uno o due classi) del prezzo di acquisto dell’unità immobiliare per un importo di spesa massimo di 96.000 euro, spetta all’acquirente delle singole unità immobiliari. In luogo della detrazione, i beneficiari possono optare per la cessione del credito alle imprese che hanno effettuato gli interventi ovvero ad altri soggetti privati esclusi gli istituti di credito e intermediari finanziari. La detrazione è ripartita in cinque quote annuali di pari importo. L’agevolazione viene concessa per le spese sostenute dal 1° gennaio 2017 al 31 dicembre 2021. </w:t>
      </w:r>
    </w:p>
    <w:p w:rsidR="00FB126F" w:rsidRPr="002279E2" w:rsidRDefault="00FB126F" w:rsidP="00612935">
      <w:pPr>
        <w:rPr>
          <w:rFonts w:eastAsia="Times New Roman" w:cs="Times New Roman"/>
          <w:lang w:eastAsia="it-IT"/>
        </w:rPr>
      </w:pPr>
      <w:r w:rsidRPr="002279E2">
        <w:rPr>
          <w:rFonts w:eastAsia="Times New Roman" w:cs="Times New Roman"/>
          <w:lang w:eastAsia="it-IT"/>
        </w:rPr>
        <w:t>Ai fini della quantificazione, l’agevolazione interessa le spese sostenute per gli interventi dall’anno 2019 all’anno 2021. La legislazione vigente prevede per gli anni successivi al 2021 la detrazione al 36 per cento ripartita in dieci quote annuali di pari importo.</w:t>
      </w:r>
    </w:p>
    <w:p w:rsidR="00FB126F" w:rsidRPr="002279E2" w:rsidRDefault="00FB126F" w:rsidP="00612935">
      <w:pPr>
        <w:rPr>
          <w:rFonts w:eastAsia="Times New Roman" w:cs="Times New Roman"/>
          <w:lang w:eastAsia="it-IT"/>
        </w:rPr>
      </w:pPr>
      <w:r w:rsidRPr="002279E2">
        <w:rPr>
          <w:rFonts w:eastAsia="Times New Roman" w:cs="Times New Roman"/>
          <w:lang w:eastAsia="it-IT"/>
        </w:rPr>
        <w:t>Ai fini della stima, in assenza di dati specifici, si assume una spesa per interventi in oggetto pari a 120 milioni di euro annui.</w:t>
      </w:r>
    </w:p>
    <w:p w:rsidR="00FB126F" w:rsidRPr="002279E2" w:rsidRDefault="00FB126F" w:rsidP="00612935">
      <w:pPr>
        <w:rPr>
          <w:rFonts w:eastAsia="Times New Roman" w:cs="Times New Roman"/>
          <w:lang w:eastAsia="it-IT"/>
        </w:rPr>
      </w:pPr>
      <w:r w:rsidRPr="002279E2">
        <w:rPr>
          <w:rFonts w:eastAsia="Times New Roman" w:cs="Times New Roman"/>
          <w:lang w:eastAsia="it-IT"/>
        </w:rPr>
        <w:t>Di seguito si riportano gli effetti finanziari:</w:t>
      </w:r>
    </w:p>
    <w:p w:rsidR="00FB126F" w:rsidRPr="002279E2" w:rsidRDefault="00FB126F" w:rsidP="00612935">
      <w:pPr>
        <w:contextualSpacing/>
        <w:rPr>
          <w:rFonts w:cs="Times New Roman"/>
        </w:rPr>
      </w:pPr>
    </w:p>
    <w:tbl>
      <w:tblPr>
        <w:tblW w:w="5000" w:type="pct"/>
        <w:jc w:val="center"/>
        <w:tblCellMar>
          <w:left w:w="70" w:type="dxa"/>
          <w:right w:w="70" w:type="dxa"/>
        </w:tblCellMar>
        <w:tblLook w:val="04A0" w:firstRow="1" w:lastRow="0" w:firstColumn="1" w:lastColumn="0" w:noHBand="0" w:noVBand="1"/>
      </w:tblPr>
      <w:tblGrid>
        <w:gridCol w:w="949"/>
        <w:gridCol w:w="598"/>
        <w:gridCol w:w="598"/>
        <w:gridCol w:w="598"/>
        <w:gridCol w:w="598"/>
        <w:gridCol w:w="598"/>
        <w:gridCol w:w="598"/>
        <w:gridCol w:w="598"/>
        <w:gridCol w:w="600"/>
        <w:gridCol w:w="598"/>
        <w:gridCol w:w="598"/>
        <w:gridCol w:w="598"/>
        <w:gridCol w:w="597"/>
        <w:gridCol w:w="597"/>
        <w:gridCol w:w="597"/>
        <w:gridCol w:w="599"/>
      </w:tblGrid>
      <w:tr w:rsidR="00FB126F" w:rsidRPr="002279E2" w:rsidTr="002A0D74">
        <w:trPr>
          <w:trHeight w:val="289"/>
          <w:jc w:val="center"/>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26F" w:rsidRPr="002279E2" w:rsidRDefault="00FB126F" w:rsidP="00612935">
            <w:pPr>
              <w:contextualSpacing/>
              <w:rPr>
                <w:rFonts w:cs="Times New Roman"/>
                <w:sz w:val="20"/>
              </w:rPr>
            </w:pPr>
            <w:r w:rsidRPr="002279E2">
              <w:rPr>
                <w:rFonts w:cs="Times New Roman"/>
                <w:sz w:val="20"/>
              </w:rPr>
              <w:t> </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contextualSpacing/>
              <w:jc w:val="center"/>
              <w:rPr>
                <w:rFonts w:cs="Times New Roman"/>
                <w:b/>
                <w:sz w:val="20"/>
              </w:rPr>
            </w:pPr>
            <w:r w:rsidRPr="002279E2">
              <w:rPr>
                <w:rFonts w:cs="Times New Roman"/>
                <w:b/>
                <w:sz w:val="20"/>
              </w:rPr>
              <w:t>2019</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contextualSpacing/>
              <w:jc w:val="center"/>
              <w:rPr>
                <w:rFonts w:cs="Times New Roman"/>
                <w:b/>
                <w:sz w:val="20"/>
              </w:rPr>
            </w:pPr>
            <w:r w:rsidRPr="002279E2">
              <w:rPr>
                <w:rFonts w:cs="Times New Roman"/>
                <w:b/>
                <w:sz w:val="20"/>
              </w:rPr>
              <w:t>2020</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contextualSpacing/>
              <w:jc w:val="center"/>
              <w:rPr>
                <w:rFonts w:cs="Times New Roman"/>
                <w:b/>
                <w:sz w:val="20"/>
              </w:rPr>
            </w:pPr>
            <w:r w:rsidRPr="002279E2">
              <w:rPr>
                <w:rFonts w:cs="Times New Roman"/>
                <w:b/>
                <w:sz w:val="20"/>
              </w:rPr>
              <w:t>2021</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contextualSpacing/>
              <w:jc w:val="center"/>
              <w:rPr>
                <w:rFonts w:cs="Times New Roman"/>
                <w:b/>
                <w:sz w:val="20"/>
              </w:rPr>
            </w:pPr>
            <w:r w:rsidRPr="002279E2">
              <w:rPr>
                <w:rFonts w:cs="Times New Roman"/>
                <w:b/>
                <w:sz w:val="20"/>
              </w:rPr>
              <w:t>2022</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contextualSpacing/>
              <w:jc w:val="center"/>
              <w:rPr>
                <w:rFonts w:cs="Times New Roman"/>
                <w:b/>
                <w:sz w:val="20"/>
              </w:rPr>
            </w:pPr>
            <w:r w:rsidRPr="002279E2">
              <w:rPr>
                <w:rFonts w:cs="Times New Roman"/>
                <w:b/>
                <w:sz w:val="20"/>
              </w:rPr>
              <w:t>2023</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contextualSpacing/>
              <w:jc w:val="center"/>
              <w:rPr>
                <w:rFonts w:cs="Times New Roman"/>
                <w:b/>
                <w:sz w:val="20"/>
              </w:rPr>
            </w:pPr>
            <w:r w:rsidRPr="002279E2">
              <w:rPr>
                <w:rFonts w:cs="Times New Roman"/>
                <w:b/>
                <w:sz w:val="20"/>
              </w:rPr>
              <w:t>2024</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contextualSpacing/>
              <w:jc w:val="center"/>
              <w:rPr>
                <w:rFonts w:cs="Times New Roman"/>
                <w:b/>
                <w:sz w:val="20"/>
              </w:rPr>
            </w:pPr>
            <w:r w:rsidRPr="002279E2">
              <w:rPr>
                <w:rFonts w:cs="Times New Roman"/>
                <w:b/>
                <w:sz w:val="20"/>
              </w:rPr>
              <w:t>2025</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contextualSpacing/>
              <w:jc w:val="center"/>
              <w:rPr>
                <w:rFonts w:cs="Times New Roman"/>
                <w:b/>
                <w:sz w:val="20"/>
              </w:rPr>
            </w:pPr>
            <w:r w:rsidRPr="002279E2">
              <w:rPr>
                <w:rFonts w:cs="Times New Roman"/>
                <w:b/>
                <w:sz w:val="20"/>
              </w:rPr>
              <w:t>2026</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contextualSpacing/>
              <w:jc w:val="center"/>
              <w:rPr>
                <w:rFonts w:cs="Times New Roman"/>
                <w:b/>
                <w:sz w:val="20"/>
              </w:rPr>
            </w:pPr>
            <w:r w:rsidRPr="002279E2">
              <w:rPr>
                <w:rFonts w:cs="Times New Roman"/>
                <w:b/>
                <w:sz w:val="20"/>
              </w:rPr>
              <w:t>2027</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contextualSpacing/>
              <w:jc w:val="center"/>
              <w:rPr>
                <w:rFonts w:cs="Times New Roman"/>
                <w:b/>
                <w:sz w:val="20"/>
              </w:rPr>
            </w:pPr>
            <w:r w:rsidRPr="002279E2">
              <w:rPr>
                <w:rFonts w:cs="Times New Roman"/>
                <w:b/>
                <w:sz w:val="20"/>
              </w:rPr>
              <w:t>2028</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contextualSpacing/>
              <w:jc w:val="center"/>
              <w:rPr>
                <w:rFonts w:cs="Times New Roman"/>
                <w:b/>
                <w:sz w:val="20"/>
              </w:rPr>
            </w:pPr>
            <w:r w:rsidRPr="002279E2">
              <w:rPr>
                <w:rFonts w:cs="Times New Roman"/>
                <w:b/>
                <w:sz w:val="20"/>
              </w:rPr>
              <w:t>2029</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contextualSpacing/>
              <w:jc w:val="center"/>
              <w:rPr>
                <w:rFonts w:cs="Times New Roman"/>
                <w:b/>
                <w:sz w:val="20"/>
              </w:rPr>
            </w:pPr>
            <w:r w:rsidRPr="002279E2">
              <w:rPr>
                <w:rFonts w:cs="Times New Roman"/>
                <w:b/>
                <w:sz w:val="20"/>
              </w:rPr>
              <w:t>2030</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contextualSpacing/>
              <w:jc w:val="center"/>
              <w:rPr>
                <w:rFonts w:cs="Times New Roman"/>
                <w:b/>
                <w:sz w:val="20"/>
              </w:rPr>
            </w:pPr>
            <w:r w:rsidRPr="002279E2">
              <w:rPr>
                <w:rFonts w:cs="Times New Roman"/>
                <w:b/>
                <w:sz w:val="20"/>
              </w:rPr>
              <w:t>2031</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contextualSpacing/>
              <w:jc w:val="center"/>
              <w:rPr>
                <w:rFonts w:cs="Times New Roman"/>
                <w:b/>
                <w:sz w:val="20"/>
              </w:rPr>
            </w:pPr>
            <w:r w:rsidRPr="002279E2">
              <w:rPr>
                <w:rFonts w:cs="Times New Roman"/>
                <w:b/>
                <w:sz w:val="20"/>
              </w:rPr>
              <w:t>2032</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contextualSpacing/>
              <w:jc w:val="center"/>
              <w:rPr>
                <w:rFonts w:cs="Times New Roman"/>
                <w:b/>
                <w:sz w:val="20"/>
              </w:rPr>
            </w:pPr>
            <w:r w:rsidRPr="002279E2">
              <w:rPr>
                <w:rFonts w:cs="Times New Roman"/>
                <w:b/>
                <w:sz w:val="20"/>
              </w:rPr>
              <w:t>2033</w:t>
            </w:r>
          </w:p>
        </w:tc>
      </w:tr>
      <w:tr w:rsidR="00FB126F" w:rsidRPr="002279E2" w:rsidTr="002A0D74">
        <w:trPr>
          <w:trHeight w:val="304"/>
          <w:jc w:val="center"/>
        </w:trPr>
        <w:tc>
          <w:tcPr>
            <w:tcW w:w="477" w:type="pct"/>
            <w:tcBorders>
              <w:top w:val="nil"/>
              <w:left w:val="single" w:sz="4" w:space="0" w:color="auto"/>
              <w:bottom w:val="single" w:sz="4" w:space="0" w:color="auto"/>
              <w:right w:val="single" w:sz="4" w:space="0" w:color="auto"/>
            </w:tcBorders>
            <w:shd w:val="clear" w:color="auto" w:fill="auto"/>
            <w:vAlign w:val="center"/>
            <w:hideMark/>
          </w:tcPr>
          <w:p w:rsidR="00FB126F" w:rsidRPr="002279E2" w:rsidRDefault="00FB126F" w:rsidP="00612935">
            <w:pPr>
              <w:contextualSpacing/>
              <w:rPr>
                <w:rFonts w:cs="Times New Roman"/>
                <w:b/>
                <w:sz w:val="20"/>
              </w:rPr>
            </w:pPr>
            <w:r w:rsidRPr="002279E2">
              <w:rPr>
                <w:rFonts w:cs="Times New Roman"/>
                <w:b/>
                <w:sz w:val="20"/>
              </w:rPr>
              <w:t>IRPEF</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-2,7</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-31,9</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-50,2</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-65,7</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-54,7</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-54,7</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-19,0</w:t>
            </w:r>
          </w:p>
        </w:tc>
        <w:tc>
          <w:tcPr>
            <w:tcW w:w="302"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1,4</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21,8</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6,5</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6,2</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2,7</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0,5</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-1,3</w:t>
            </w:r>
          </w:p>
        </w:tc>
        <w:tc>
          <w:tcPr>
            <w:tcW w:w="302"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r>
      <w:tr w:rsidR="00FB126F" w:rsidRPr="002279E2" w:rsidTr="002A0D74">
        <w:trPr>
          <w:trHeight w:val="304"/>
          <w:jc w:val="center"/>
        </w:trPr>
        <w:tc>
          <w:tcPr>
            <w:tcW w:w="477" w:type="pct"/>
            <w:tcBorders>
              <w:top w:val="nil"/>
              <w:left w:val="single" w:sz="4" w:space="0" w:color="auto"/>
              <w:bottom w:val="single" w:sz="4" w:space="0" w:color="auto"/>
              <w:right w:val="single" w:sz="4" w:space="0" w:color="auto"/>
            </w:tcBorders>
            <w:shd w:val="clear" w:color="auto" w:fill="auto"/>
            <w:vAlign w:val="center"/>
            <w:hideMark/>
          </w:tcPr>
          <w:p w:rsidR="00FB126F" w:rsidRPr="002279E2" w:rsidRDefault="00FB126F" w:rsidP="00612935">
            <w:pPr>
              <w:contextualSpacing/>
              <w:rPr>
                <w:rFonts w:cs="Times New Roman"/>
                <w:b/>
                <w:sz w:val="20"/>
              </w:rPr>
            </w:pPr>
            <w:r w:rsidRPr="002279E2">
              <w:rPr>
                <w:rFonts w:cs="Times New Roman"/>
                <w:b/>
                <w:sz w:val="20"/>
              </w:rPr>
              <w:t>IRPEF/</w:t>
            </w:r>
          </w:p>
          <w:p w:rsidR="00FB126F" w:rsidRPr="002279E2" w:rsidRDefault="00FB126F" w:rsidP="00612935">
            <w:pPr>
              <w:contextualSpacing/>
              <w:rPr>
                <w:rFonts w:cs="Times New Roman"/>
                <w:b/>
                <w:sz w:val="20"/>
              </w:rPr>
            </w:pPr>
            <w:r w:rsidRPr="002279E2">
              <w:rPr>
                <w:rFonts w:cs="Times New Roman"/>
                <w:b/>
                <w:sz w:val="20"/>
              </w:rPr>
              <w:t>IRES</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6,2</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3,5</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3,5</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-2,7</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2"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2"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r>
      <w:tr w:rsidR="00FB126F" w:rsidRPr="002279E2" w:rsidTr="002A0D74">
        <w:trPr>
          <w:trHeight w:val="304"/>
          <w:jc w:val="center"/>
        </w:trPr>
        <w:tc>
          <w:tcPr>
            <w:tcW w:w="477" w:type="pct"/>
            <w:tcBorders>
              <w:top w:val="nil"/>
              <w:left w:val="single" w:sz="4" w:space="0" w:color="auto"/>
              <w:bottom w:val="single" w:sz="4" w:space="0" w:color="auto"/>
              <w:right w:val="single" w:sz="4" w:space="0" w:color="auto"/>
            </w:tcBorders>
            <w:shd w:val="clear" w:color="auto" w:fill="auto"/>
            <w:vAlign w:val="center"/>
            <w:hideMark/>
          </w:tcPr>
          <w:p w:rsidR="00FB126F" w:rsidRPr="002279E2" w:rsidRDefault="00FB126F" w:rsidP="00612935">
            <w:pPr>
              <w:contextualSpacing/>
              <w:rPr>
                <w:rFonts w:cs="Times New Roman"/>
                <w:b/>
                <w:sz w:val="20"/>
              </w:rPr>
            </w:pPr>
            <w:r w:rsidRPr="002279E2">
              <w:rPr>
                <w:rFonts w:cs="Times New Roman"/>
                <w:b/>
                <w:sz w:val="20"/>
              </w:rPr>
              <w:t>IRAP</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1,0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0,5</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0,5</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-0,4</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2"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2"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r>
      <w:tr w:rsidR="00FB126F" w:rsidRPr="002279E2" w:rsidTr="002A0D74">
        <w:trPr>
          <w:trHeight w:val="304"/>
          <w:jc w:val="center"/>
        </w:trPr>
        <w:tc>
          <w:tcPr>
            <w:tcW w:w="477" w:type="pct"/>
            <w:tcBorders>
              <w:top w:val="nil"/>
              <w:left w:val="single" w:sz="4" w:space="0" w:color="auto"/>
              <w:bottom w:val="single" w:sz="4" w:space="0" w:color="auto"/>
              <w:right w:val="single" w:sz="4" w:space="0" w:color="auto"/>
            </w:tcBorders>
            <w:shd w:val="clear" w:color="auto" w:fill="auto"/>
            <w:vAlign w:val="center"/>
            <w:hideMark/>
          </w:tcPr>
          <w:p w:rsidR="00FB126F" w:rsidRPr="002279E2" w:rsidRDefault="00FB126F" w:rsidP="00612935">
            <w:pPr>
              <w:contextualSpacing/>
              <w:rPr>
                <w:rFonts w:cs="Times New Roman"/>
                <w:b/>
                <w:sz w:val="20"/>
              </w:rPr>
            </w:pPr>
            <w:r w:rsidRPr="002279E2">
              <w:rPr>
                <w:rFonts w:cs="Times New Roman"/>
                <w:b/>
                <w:sz w:val="20"/>
              </w:rPr>
              <w:lastRenderedPageBreak/>
              <w:t>IVA</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1,4</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1,4</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1,4</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2"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c>
          <w:tcPr>
            <w:tcW w:w="302"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sz w:val="20"/>
              </w:rPr>
            </w:pPr>
            <w:r w:rsidRPr="002279E2">
              <w:rPr>
                <w:rFonts w:cs="Times New Roman"/>
                <w:sz w:val="20"/>
              </w:rPr>
              <w:t>0,0</w:t>
            </w:r>
          </w:p>
        </w:tc>
      </w:tr>
      <w:tr w:rsidR="00FB126F" w:rsidRPr="002279E2" w:rsidTr="002A0D74">
        <w:trPr>
          <w:trHeight w:val="289"/>
          <w:jc w:val="center"/>
        </w:trPr>
        <w:tc>
          <w:tcPr>
            <w:tcW w:w="477" w:type="pct"/>
            <w:tcBorders>
              <w:top w:val="nil"/>
              <w:left w:val="single" w:sz="4" w:space="0" w:color="auto"/>
              <w:bottom w:val="single" w:sz="4" w:space="0" w:color="auto"/>
              <w:right w:val="single" w:sz="4" w:space="0" w:color="auto"/>
            </w:tcBorders>
            <w:shd w:val="clear" w:color="auto" w:fill="auto"/>
            <w:vAlign w:val="center"/>
            <w:hideMark/>
          </w:tcPr>
          <w:p w:rsidR="00FB126F" w:rsidRPr="002279E2" w:rsidRDefault="00FB126F" w:rsidP="00612935">
            <w:pPr>
              <w:contextualSpacing/>
              <w:rPr>
                <w:rFonts w:cs="Times New Roman"/>
                <w:b/>
                <w:sz w:val="20"/>
              </w:rPr>
            </w:pPr>
            <w:r w:rsidRPr="002279E2">
              <w:rPr>
                <w:rFonts w:cs="Times New Roman"/>
                <w:b/>
                <w:sz w:val="20"/>
              </w:rPr>
              <w:t>Totale</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b/>
                <w:sz w:val="20"/>
              </w:rPr>
            </w:pPr>
            <w:r w:rsidRPr="002279E2">
              <w:rPr>
                <w:rFonts w:cs="Times New Roman"/>
                <w:b/>
                <w:sz w:val="20"/>
              </w:rPr>
              <w:t>-1,3</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b/>
                <w:sz w:val="20"/>
              </w:rPr>
            </w:pPr>
            <w:r w:rsidRPr="002279E2">
              <w:rPr>
                <w:rFonts w:cs="Times New Roman"/>
                <w:b/>
                <w:sz w:val="20"/>
              </w:rPr>
              <w:t>-23,3</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b/>
                <w:sz w:val="20"/>
              </w:rPr>
            </w:pPr>
            <w:r w:rsidRPr="002279E2">
              <w:rPr>
                <w:rFonts w:cs="Times New Roman"/>
                <w:b/>
                <w:sz w:val="20"/>
              </w:rPr>
              <w:t>-44,8</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b/>
                <w:sz w:val="20"/>
              </w:rPr>
            </w:pPr>
            <w:r w:rsidRPr="002279E2">
              <w:rPr>
                <w:rFonts w:cs="Times New Roman"/>
                <w:b/>
                <w:sz w:val="20"/>
              </w:rPr>
              <w:t>-61,7</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b/>
                <w:sz w:val="20"/>
              </w:rPr>
            </w:pPr>
            <w:r w:rsidRPr="002279E2">
              <w:rPr>
                <w:rFonts w:cs="Times New Roman"/>
                <w:b/>
                <w:sz w:val="20"/>
              </w:rPr>
              <w:t>-57,8</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b/>
                <w:sz w:val="20"/>
              </w:rPr>
            </w:pPr>
            <w:r w:rsidRPr="002279E2">
              <w:rPr>
                <w:rFonts w:cs="Times New Roman"/>
                <w:b/>
                <w:sz w:val="20"/>
              </w:rPr>
              <w:t>-54,7</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b/>
                <w:sz w:val="20"/>
              </w:rPr>
            </w:pPr>
            <w:r w:rsidRPr="002279E2">
              <w:rPr>
                <w:rFonts w:cs="Times New Roman"/>
                <w:b/>
                <w:sz w:val="20"/>
              </w:rPr>
              <w:t>-19,0</w:t>
            </w:r>
          </w:p>
        </w:tc>
        <w:tc>
          <w:tcPr>
            <w:tcW w:w="302"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b/>
                <w:sz w:val="20"/>
              </w:rPr>
            </w:pPr>
            <w:r w:rsidRPr="002279E2">
              <w:rPr>
                <w:rFonts w:cs="Times New Roman"/>
                <w:b/>
                <w:sz w:val="20"/>
              </w:rPr>
              <w:t>1,4</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b/>
                <w:sz w:val="20"/>
              </w:rPr>
            </w:pPr>
            <w:r w:rsidRPr="002279E2">
              <w:rPr>
                <w:rFonts w:cs="Times New Roman"/>
                <w:b/>
                <w:sz w:val="20"/>
              </w:rPr>
              <w:t>21,8</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b/>
                <w:sz w:val="20"/>
              </w:rPr>
            </w:pPr>
            <w:r w:rsidRPr="002279E2">
              <w:rPr>
                <w:rFonts w:cs="Times New Roman"/>
                <w:b/>
                <w:sz w:val="20"/>
              </w:rPr>
              <w:t>6,5</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b/>
                <w:sz w:val="20"/>
              </w:rPr>
            </w:pPr>
            <w:r w:rsidRPr="002279E2">
              <w:rPr>
                <w:rFonts w:cs="Times New Roman"/>
                <w:b/>
                <w:sz w:val="20"/>
              </w:rPr>
              <w:t>6,2</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b/>
                <w:sz w:val="20"/>
              </w:rPr>
            </w:pPr>
            <w:r w:rsidRPr="002279E2">
              <w:rPr>
                <w:rFonts w:cs="Times New Roman"/>
                <w:b/>
                <w:sz w:val="20"/>
              </w:rPr>
              <w:t>2,7</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b/>
                <w:sz w:val="20"/>
              </w:rPr>
            </w:pPr>
            <w:r w:rsidRPr="002279E2">
              <w:rPr>
                <w:rFonts w:cs="Times New Roman"/>
                <w:b/>
                <w:sz w:val="20"/>
              </w:rPr>
              <w:t>0,5</w:t>
            </w:r>
          </w:p>
        </w:tc>
        <w:tc>
          <w:tcPr>
            <w:tcW w:w="301"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b/>
                <w:sz w:val="20"/>
              </w:rPr>
            </w:pPr>
            <w:r w:rsidRPr="002279E2">
              <w:rPr>
                <w:rFonts w:cs="Times New Roman"/>
                <w:b/>
                <w:sz w:val="20"/>
              </w:rPr>
              <w:t>-1,3</w:t>
            </w:r>
          </w:p>
        </w:tc>
        <w:tc>
          <w:tcPr>
            <w:tcW w:w="302"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contextualSpacing/>
              <w:jc w:val="center"/>
              <w:rPr>
                <w:rFonts w:cs="Times New Roman"/>
                <w:b/>
                <w:sz w:val="20"/>
              </w:rPr>
            </w:pPr>
            <w:r w:rsidRPr="002279E2">
              <w:rPr>
                <w:rFonts w:cs="Times New Roman"/>
                <w:b/>
                <w:sz w:val="20"/>
              </w:rPr>
              <w:t>0,0</w:t>
            </w:r>
          </w:p>
        </w:tc>
      </w:tr>
    </w:tbl>
    <w:p w:rsidR="00FB126F" w:rsidRPr="002279E2" w:rsidRDefault="00FB126F" w:rsidP="00612935">
      <w:pPr>
        <w:contextualSpacing/>
        <w:rPr>
          <w:rFonts w:cs="Times New Roman"/>
          <w:i/>
        </w:rPr>
      </w:pPr>
      <w:r w:rsidRPr="002279E2">
        <w:rPr>
          <w:rFonts w:cs="Times New Roman"/>
          <w:i/>
        </w:rPr>
        <w:t>Milioni di euro</w:t>
      </w:r>
    </w:p>
    <w:p w:rsidR="00FB126F" w:rsidRPr="002279E2" w:rsidRDefault="00FB126F" w:rsidP="00612935">
      <w:pPr>
        <w:rPr>
          <w:rFonts w:cs="Times New Roman"/>
        </w:rPr>
      </w:pPr>
    </w:p>
    <w:p w:rsidR="007E4FDC" w:rsidRPr="002279E2" w:rsidRDefault="00D10BAD" w:rsidP="005E06C3">
      <w:pPr>
        <w:pStyle w:val="Titolo2"/>
      </w:pPr>
      <w:bookmarkStart w:id="22" w:name="_Toc4423345"/>
      <w:bookmarkStart w:id="23" w:name="_Toc6937337"/>
      <w:r w:rsidRPr="002279E2">
        <w:t xml:space="preserve">Articolo </w:t>
      </w:r>
      <w:r w:rsidR="00B30DBD" w:rsidRPr="002279E2">
        <w:t>9</w:t>
      </w:r>
      <w:r w:rsidR="007E4FDC" w:rsidRPr="002279E2">
        <w:br/>
        <w:t>(Trattamento fiscale di strumenti finanziari convertibili)</w:t>
      </w:r>
      <w:bookmarkEnd w:id="22"/>
      <w:bookmarkEnd w:id="23"/>
    </w:p>
    <w:p w:rsidR="00EA07B0" w:rsidRPr="002279E2" w:rsidRDefault="00EA07B0" w:rsidP="00EA07B0">
      <w:pPr>
        <w:pStyle w:val="Default"/>
        <w:numPr>
          <w:ilvl w:val="0"/>
          <w:numId w:val="2"/>
        </w:numPr>
        <w:ind w:left="0" w:firstLine="0"/>
        <w:jc w:val="both"/>
        <w:rPr>
          <w:rFonts w:ascii="Times New Roman" w:hAnsi="Times New Roman" w:cs="Times New Roman"/>
          <w:sz w:val="22"/>
          <w:szCs w:val="22"/>
        </w:rPr>
      </w:pPr>
      <w:r w:rsidRPr="002279E2">
        <w:rPr>
          <w:rFonts w:ascii="Times New Roman" w:hAnsi="Times New Roman" w:cs="Times New Roman"/>
          <w:sz w:val="22"/>
          <w:szCs w:val="22"/>
        </w:rPr>
        <w:t xml:space="preserve">I maggiori o minori valori che derivano dall'attuazione di specifiche previsioni contrattuali che governano gli strumenti finanziari, diversi da azioni e titoli similari, con le caratteristiche indicate nel comma 2 non concorrono alla formazione del reddito imponibile degli emittenti ai fini dell'imposta sul reddito delle società e del valore della produzione netta. </w:t>
      </w:r>
    </w:p>
    <w:p w:rsidR="00EA07B0" w:rsidRPr="002279E2" w:rsidRDefault="00EA07B0" w:rsidP="00EA07B0">
      <w:pPr>
        <w:pStyle w:val="Default"/>
        <w:numPr>
          <w:ilvl w:val="0"/>
          <w:numId w:val="2"/>
        </w:numPr>
        <w:ind w:left="0" w:firstLine="0"/>
        <w:jc w:val="both"/>
        <w:rPr>
          <w:rFonts w:ascii="Times New Roman" w:hAnsi="Times New Roman" w:cs="Times New Roman"/>
          <w:sz w:val="22"/>
          <w:szCs w:val="22"/>
        </w:rPr>
      </w:pPr>
      <w:r w:rsidRPr="002279E2">
        <w:rPr>
          <w:rFonts w:ascii="Times New Roman" w:hAnsi="Times New Roman" w:cs="Times New Roman"/>
          <w:sz w:val="22"/>
          <w:szCs w:val="22"/>
        </w:rPr>
        <w:t xml:space="preserve">Ai fini del comma 1 gli strumenti finanziari devono presentare le seguenti caratteristiche: </w:t>
      </w:r>
    </w:p>
    <w:p w:rsidR="00EA07B0" w:rsidRPr="002279E2" w:rsidRDefault="00EA07B0" w:rsidP="00EA07B0">
      <w:pPr>
        <w:pStyle w:val="Default"/>
        <w:numPr>
          <w:ilvl w:val="0"/>
          <w:numId w:val="3"/>
        </w:numPr>
        <w:ind w:left="0" w:firstLine="0"/>
        <w:jc w:val="both"/>
        <w:rPr>
          <w:rFonts w:ascii="Times New Roman" w:hAnsi="Times New Roman" w:cs="Times New Roman"/>
          <w:sz w:val="22"/>
          <w:szCs w:val="22"/>
        </w:rPr>
      </w:pPr>
      <w:r w:rsidRPr="002279E2">
        <w:rPr>
          <w:rFonts w:ascii="Times New Roman" w:hAnsi="Times New Roman" w:cs="Times New Roman"/>
          <w:sz w:val="22"/>
          <w:szCs w:val="22"/>
        </w:rPr>
        <w:t xml:space="preserve">gli strumenti sono stati emessi ed il corrispettivo è stato integralmente versato; </w:t>
      </w:r>
    </w:p>
    <w:p w:rsidR="00EA07B0" w:rsidRPr="002279E2" w:rsidRDefault="00EA07B0" w:rsidP="00EA07B0">
      <w:pPr>
        <w:pStyle w:val="Default"/>
        <w:numPr>
          <w:ilvl w:val="0"/>
          <w:numId w:val="3"/>
        </w:numPr>
        <w:ind w:left="0" w:firstLine="0"/>
        <w:jc w:val="both"/>
        <w:rPr>
          <w:rFonts w:ascii="Times New Roman" w:hAnsi="Times New Roman" w:cs="Times New Roman"/>
          <w:sz w:val="22"/>
          <w:szCs w:val="22"/>
        </w:rPr>
      </w:pPr>
      <w:r w:rsidRPr="002279E2">
        <w:rPr>
          <w:rFonts w:ascii="Times New Roman" w:hAnsi="Times New Roman" w:cs="Times New Roman"/>
          <w:sz w:val="22"/>
          <w:szCs w:val="22"/>
        </w:rPr>
        <w:t xml:space="preserve">gli strumenti non sono stati sottoscritti o acquistati né dalla società emittente né da società da essa controllate o nelle quali essa detenga il 20 per cento o più dei diritti di voto o del capitale; </w:t>
      </w:r>
    </w:p>
    <w:p w:rsidR="00EA07B0" w:rsidRPr="002279E2" w:rsidRDefault="00EA07B0" w:rsidP="00EA07B0">
      <w:pPr>
        <w:pStyle w:val="Default"/>
        <w:numPr>
          <w:ilvl w:val="0"/>
          <w:numId w:val="3"/>
        </w:numPr>
        <w:ind w:left="0" w:firstLine="0"/>
        <w:jc w:val="both"/>
        <w:rPr>
          <w:rFonts w:ascii="Times New Roman" w:hAnsi="Times New Roman" w:cs="Times New Roman"/>
          <w:sz w:val="22"/>
          <w:szCs w:val="22"/>
        </w:rPr>
      </w:pPr>
      <w:r w:rsidRPr="002279E2">
        <w:rPr>
          <w:rFonts w:ascii="Times New Roman" w:hAnsi="Times New Roman" w:cs="Times New Roman"/>
          <w:sz w:val="22"/>
          <w:szCs w:val="22"/>
        </w:rPr>
        <w:t xml:space="preserve">l’acquisto degli strumenti non è stato finanziato, né direttamente né indirettamente, dalla società emittente; </w:t>
      </w:r>
    </w:p>
    <w:p w:rsidR="00EA07B0" w:rsidRPr="002279E2" w:rsidRDefault="00EA07B0" w:rsidP="00EA07B0">
      <w:pPr>
        <w:pStyle w:val="Default"/>
        <w:numPr>
          <w:ilvl w:val="0"/>
          <w:numId w:val="3"/>
        </w:numPr>
        <w:ind w:left="0" w:firstLine="0"/>
        <w:jc w:val="both"/>
        <w:rPr>
          <w:rFonts w:ascii="Times New Roman" w:hAnsi="Times New Roman" w:cs="Times New Roman"/>
          <w:sz w:val="22"/>
          <w:szCs w:val="22"/>
        </w:rPr>
      </w:pPr>
      <w:r w:rsidRPr="002279E2">
        <w:rPr>
          <w:rFonts w:ascii="Times New Roman" w:hAnsi="Times New Roman" w:cs="Times New Roman"/>
          <w:sz w:val="22"/>
          <w:szCs w:val="22"/>
        </w:rPr>
        <w:t xml:space="preserve">nell’ordine di distribuzione delle somme ricavate dalla liquidazione dell’attivo gli strumenti hanno lo stesso rango, o un rango superiore, rispetto alle azioni e sono subordinati alla soddisfazione dei diritti di tutti gli altri creditori; </w:t>
      </w:r>
    </w:p>
    <w:p w:rsidR="00EA07B0" w:rsidRPr="002279E2" w:rsidRDefault="00EA07B0" w:rsidP="00EA07B0">
      <w:pPr>
        <w:pStyle w:val="Default"/>
        <w:numPr>
          <w:ilvl w:val="0"/>
          <w:numId w:val="3"/>
        </w:numPr>
        <w:ind w:left="0" w:firstLine="0"/>
        <w:jc w:val="both"/>
        <w:rPr>
          <w:rFonts w:ascii="Times New Roman" w:hAnsi="Times New Roman" w:cs="Times New Roman"/>
          <w:sz w:val="22"/>
          <w:szCs w:val="22"/>
        </w:rPr>
      </w:pPr>
      <w:r w:rsidRPr="002279E2">
        <w:rPr>
          <w:rFonts w:ascii="Times New Roman" w:hAnsi="Times New Roman" w:cs="Times New Roman"/>
          <w:sz w:val="22"/>
          <w:szCs w:val="22"/>
        </w:rPr>
        <w:t xml:space="preserve">gli strumenti non sono oggetto di alcuna disposizione, contrattuale o di altra natura, che ne migliori il grado di subordinazione rispetto agli altri creditori in caso di risoluzione, assoggettamento a procedura concorsuale o liquidazione; </w:t>
      </w:r>
    </w:p>
    <w:p w:rsidR="00EA07B0" w:rsidRPr="002279E2" w:rsidRDefault="00EA07B0" w:rsidP="00EA07B0">
      <w:pPr>
        <w:pStyle w:val="Default"/>
        <w:numPr>
          <w:ilvl w:val="0"/>
          <w:numId w:val="3"/>
        </w:numPr>
        <w:ind w:left="0" w:firstLine="0"/>
        <w:jc w:val="both"/>
        <w:rPr>
          <w:rFonts w:ascii="Times New Roman" w:hAnsi="Times New Roman" w:cs="Times New Roman"/>
          <w:sz w:val="22"/>
          <w:szCs w:val="22"/>
        </w:rPr>
      </w:pPr>
      <w:r w:rsidRPr="002279E2">
        <w:rPr>
          <w:rFonts w:ascii="Times New Roman" w:hAnsi="Times New Roman" w:cs="Times New Roman"/>
          <w:sz w:val="22"/>
          <w:szCs w:val="22"/>
        </w:rPr>
        <w:t xml:space="preserve">gli strumenti sono perpetui e le disposizioni che li governano non prevedono alcun incentivo al rimborso per l’emittente; </w:t>
      </w:r>
    </w:p>
    <w:p w:rsidR="00EA07B0" w:rsidRPr="002279E2" w:rsidRDefault="00EA07B0" w:rsidP="00EA07B0">
      <w:pPr>
        <w:pStyle w:val="Default"/>
        <w:numPr>
          <w:ilvl w:val="0"/>
          <w:numId w:val="3"/>
        </w:numPr>
        <w:ind w:left="0" w:firstLine="0"/>
        <w:jc w:val="both"/>
        <w:rPr>
          <w:rFonts w:ascii="Times New Roman" w:hAnsi="Times New Roman" w:cs="Times New Roman"/>
          <w:sz w:val="22"/>
          <w:szCs w:val="22"/>
        </w:rPr>
      </w:pPr>
      <w:r w:rsidRPr="002279E2">
        <w:rPr>
          <w:rFonts w:ascii="Times New Roman" w:hAnsi="Times New Roman" w:cs="Times New Roman"/>
          <w:sz w:val="22"/>
          <w:szCs w:val="22"/>
        </w:rPr>
        <w:t xml:space="preserve">gli strumenti non possono essere rimborsati o riacquistati dall’emittente prima di 5 anni dalla data di emissione; </w:t>
      </w:r>
    </w:p>
    <w:p w:rsidR="00EA07B0" w:rsidRPr="002279E2" w:rsidRDefault="00EA07B0" w:rsidP="00EA07B0">
      <w:pPr>
        <w:pStyle w:val="Default"/>
        <w:numPr>
          <w:ilvl w:val="0"/>
          <w:numId w:val="3"/>
        </w:numPr>
        <w:ind w:left="0" w:firstLine="0"/>
        <w:jc w:val="both"/>
        <w:rPr>
          <w:rFonts w:ascii="Times New Roman" w:hAnsi="Times New Roman" w:cs="Times New Roman"/>
          <w:sz w:val="22"/>
          <w:szCs w:val="22"/>
        </w:rPr>
      </w:pPr>
      <w:r w:rsidRPr="002279E2">
        <w:rPr>
          <w:rFonts w:ascii="Times New Roman" w:hAnsi="Times New Roman" w:cs="Times New Roman"/>
          <w:sz w:val="22"/>
          <w:szCs w:val="22"/>
        </w:rPr>
        <w:t xml:space="preserve">se le disposizioni che governano gli strumenti includono una o più opzioni di rimborso anticipato o di riacquisto, l'opzione può essere esercitata unicamente dall'emittente; </w:t>
      </w:r>
    </w:p>
    <w:p w:rsidR="00EA07B0" w:rsidRPr="002279E2" w:rsidRDefault="00EA07B0" w:rsidP="00EA07B0">
      <w:pPr>
        <w:pStyle w:val="Default"/>
        <w:numPr>
          <w:ilvl w:val="0"/>
          <w:numId w:val="3"/>
        </w:numPr>
        <w:ind w:left="0" w:firstLine="0"/>
        <w:jc w:val="both"/>
        <w:rPr>
          <w:rFonts w:ascii="Times New Roman" w:hAnsi="Times New Roman" w:cs="Times New Roman"/>
          <w:sz w:val="22"/>
          <w:szCs w:val="22"/>
        </w:rPr>
      </w:pPr>
      <w:r w:rsidRPr="002279E2">
        <w:rPr>
          <w:rFonts w:ascii="Times New Roman" w:hAnsi="Times New Roman" w:cs="Times New Roman"/>
          <w:sz w:val="22"/>
          <w:szCs w:val="22"/>
        </w:rPr>
        <w:t xml:space="preserve">le disposizioni che governano gli strumenti non contengono indicazioni, né esplicite né implicite, che gli strumenti saranno rimborsati, anche anticipatamente, o riacquistati, o che l'emittente intende rimborsarli, anche anticipatamente, o riacquistarli, ad eccezione dei seguenti casi: </w:t>
      </w:r>
    </w:p>
    <w:p w:rsidR="00EA07B0" w:rsidRPr="002279E2" w:rsidRDefault="00EA07B0" w:rsidP="00EA07B0">
      <w:pPr>
        <w:pStyle w:val="Default"/>
        <w:numPr>
          <w:ilvl w:val="0"/>
          <w:numId w:val="4"/>
        </w:numPr>
        <w:ind w:left="0" w:firstLine="0"/>
        <w:jc w:val="both"/>
        <w:rPr>
          <w:rFonts w:ascii="Times New Roman" w:hAnsi="Times New Roman" w:cs="Times New Roman"/>
          <w:sz w:val="22"/>
          <w:szCs w:val="22"/>
        </w:rPr>
      </w:pPr>
      <w:r w:rsidRPr="002279E2">
        <w:rPr>
          <w:rFonts w:ascii="Times New Roman" w:hAnsi="Times New Roman" w:cs="Times New Roman"/>
          <w:sz w:val="22"/>
          <w:szCs w:val="22"/>
        </w:rPr>
        <w:t xml:space="preserve">liquidazione della società; </w:t>
      </w:r>
    </w:p>
    <w:p w:rsidR="00EA07B0" w:rsidRPr="002279E2" w:rsidRDefault="00EA07B0" w:rsidP="00EA07B0">
      <w:pPr>
        <w:pStyle w:val="Default"/>
        <w:numPr>
          <w:ilvl w:val="0"/>
          <w:numId w:val="4"/>
        </w:numPr>
        <w:ind w:left="0" w:firstLine="0"/>
        <w:jc w:val="both"/>
        <w:rPr>
          <w:rFonts w:ascii="Times New Roman" w:hAnsi="Times New Roman" w:cs="Times New Roman"/>
          <w:sz w:val="22"/>
          <w:szCs w:val="22"/>
        </w:rPr>
      </w:pPr>
      <w:r w:rsidRPr="002279E2">
        <w:rPr>
          <w:rFonts w:ascii="Times New Roman" w:hAnsi="Times New Roman" w:cs="Times New Roman"/>
          <w:sz w:val="22"/>
          <w:szCs w:val="22"/>
        </w:rPr>
        <w:t xml:space="preserve">operazioni discrezionali di riacquisto degli strumenti. </w:t>
      </w:r>
    </w:p>
    <w:p w:rsidR="00EA07B0" w:rsidRPr="002279E2" w:rsidRDefault="00EA07B0" w:rsidP="00EA07B0">
      <w:pPr>
        <w:pStyle w:val="Default"/>
        <w:numPr>
          <w:ilvl w:val="0"/>
          <w:numId w:val="5"/>
        </w:numPr>
        <w:ind w:left="0" w:firstLine="0"/>
        <w:jc w:val="both"/>
        <w:rPr>
          <w:rFonts w:ascii="Times New Roman" w:hAnsi="Times New Roman" w:cs="Times New Roman"/>
          <w:sz w:val="22"/>
          <w:szCs w:val="22"/>
        </w:rPr>
      </w:pPr>
      <w:r w:rsidRPr="002279E2">
        <w:rPr>
          <w:rFonts w:ascii="Times New Roman" w:hAnsi="Times New Roman" w:cs="Times New Roman"/>
          <w:sz w:val="22"/>
          <w:szCs w:val="22"/>
        </w:rPr>
        <w:t xml:space="preserve">le disposizioni che governano gli strumenti prevedono che la società emittente abbia la piena discrezionalità, in qualsiasi momento, di annullare le distribuzioni relative agli strumenti. Le distribuzioni annullate non sono cumulabili e l’annullamento delle distribuzioni non costituisce un caso di insolvenza da parte della società emittente; </w:t>
      </w:r>
    </w:p>
    <w:p w:rsidR="00EA07B0" w:rsidRPr="002279E2" w:rsidRDefault="00EA07B0" w:rsidP="00EA07B0">
      <w:pPr>
        <w:pStyle w:val="Default"/>
        <w:numPr>
          <w:ilvl w:val="0"/>
          <w:numId w:val="5"/>
        </w:numPr>
        <w:ind w:left="0" w:firstLine="0"/>
        <w:jc w:val="both"/>
        <w:rPr>
          <w:rFonts w:ascii="Times New Roman" w:hAnsi="Times New Roman" w:cs="Times New Roman"/>
          <w:sz w:val="22"/>
          <w:szCs w:val="22"/>
        </w:rPr>
      </w:pPr>
      <w:r w:rsidRPr="002279E2">
        <w:rPr>
          <w:rFonts w:ascii="Times New Roman" w:hAnsi="Times New Roman" w:cs="Times New Roman"/>
          <w:sz w:val="22"/>
          <w:szCs w:val="22"/>
        </w:rPr>
        <w:t>le disposizioni che governano gli strumenti prescrivono, alternativamente, che al verificarsi di un determinato evento connesso al livello di patrimonializzazione della società:</w:t>
      </w:r>
      <w:r w:rsidRPr="002279E2">
        <w:rPr>
          <w:rFonts w:ascii="Times New Roman" w:hAnsi="Times New Roman" w:cs="Times New Roman"/>
          <w:b/>
          <w:bCs/>
          <w:iCs/>
          <w:sz w:val="22"/>
          <w:szCs w:val="22"/>
        </w:rPr>
        <w:t xml:space="preserve"> </w:t>
      </w:r>
    </w:p>
    <w:p w:rsidR="00EA07B0" w:rsidRPr="002279E2" w:rsidRDefault="00EA07B0" w:rsidP="00EA07B0">
      <w:pPr>
        <w:pStyle w:val="Default"/>
        <w:numPr>
          <w:ilvl w:val="0"/>
          <w:numId w:val="4"/>
        </w:numPr>
        <w:ind w:left="0" w:firstLine="0"/>
        <w:jc w:val="both"/>
        <w:rPr>
          <w:rFonts w:ascii="Times New Roman" w:hAnsi="Times New Roman" w:cs="Times New Roman"/>
          <w:sz w:val="22"/>
          <w:szCs w:val="22"/>
        </w:rPr>
      </w:pPr>
      <w:r w:rsidRPr="002279E2">
        <w:rPr>
          <w:rFonts w:ascii="Times New Roman" w:hAnsi="Times New Roman" w:cs="Times New Roman"/>
          <w:sz w:val="22"/>
          <w:szCs w:val="22"/>
        </w:rPr>
        <w:t xml:space="preserve">il valore nominale degli strumenti sia svalutato in via permanente o temporanea; </w:t>
      </w:r>
    </w:p>
    <w:p w:rsidR="00EA07B0" w:rsidRPr="002279E2" w:rsidRDefault="00EA07B0" w:rsidP="00EA07B0">
      <w:pPr>
        <w:pStyle w:val="Default"/>
        <w:numPr>
          <w:ilvl w:val="0"/>
          <w:numId w:val="4"/>
        </w:numPr>
        <w:ind w:left="0" w:firstLine="0"/>
        <w:jc w:val="both"/>
        <w:rPr>
          <w:rFonts w:ascii="Times New Roman" w:hAnsi="Times New Roman" w:cs="Times New Roman"/>
          <w:sz w:val="22"/>
          <w:szCs w:val="22"/>
        </w:rPr>
      </w:pPr>
      <w:r w:rsidRPr="002279E2">
        <w:rPr>
          <w:rFonts w:ascii="Times New Roman" w:hAnsi="Times New Roman" w:cs="Times New Roman"/>
          <w:sz w:val="22"/>
          <w:szCs w:val="22"/>
        </w:rPr>
        <w:t xml:space="preserve">gli strumenti siano convertiti in azioni; </w:t>
      </w:r>
    </w:p>
    <w:p w:rsidR="00EA07B0" w:rsidRPr="002279E2" w:rsidRDefault="00EA07B0" w:rsidP="00EA07B0">
      <w:pPr>
        <w:pStyle w:val="Default"/>
        <w:numPr>
          <w:ilvl w:val="0"/>
          <w:numId w:val="4"/>
        </w:numPr>
        <w:ind w:left="0" w:firstLine="0"/>
        <w:jc w:val="both"/>
        <w:rPr>
          <w:rFonts w:ascii="Times New Roman" w:hAnsi="Times New Roman" w:cs="Times New Roman"/>
          <w:sz w:val="22"/>
          <w:szCs w:val="22"/>
        </w:rPr>
      </w:pPr>
      <w:r w:rsidRPr="002279E2">
        <w:rPr>
          <w:rFonts w:ascii="Times New Roman" w:hAnsi="Times New Roman" w:cs="Times New Roman"/>
          <w:sz w:val="22"/>
          <w:szCs w:val="22"/>
        </w:rPr>
        <w:t xml:space="preserve">si attivi un meccanismo che produca effetti equivalenti a quelli di cui ai precedenti due punti. </w:t>
      </w:r>
    </w:p>
    <w:p w:rsidR="00EA07B0" w:rsidRPr="002279E2" w:rsidRDefault="00EA07B0" w:rsidP="00EA07B0">
      <w:pPr>
        <w:pStyle w:val="Default"/>
        <w:numPr>
          <w:ilvl w:val="0"/>
          <w:numId w:val="2"/>
        </w:numPr>
        <w:ind w:left="0" w:firstLine="0"/>
        <w:jc w:val="both"/>
        <w:rPr>
          <w:rFonts w:ascii="Times New Roman" w:hAnsi="Times New Roman" w:cs="Times New Roman"/>
          <w:sz w:val="22"/>
          <w:szCs w:val="22"/>
        </w:rPr>
      </w:pPr>
      <w:r w:rsidRPr="002279E2">
        <w:rPr>
          <w:rFonts w:ascii="Times New Roman" w:hAnsi="Times New Roman" w:cs="Times New Roman"/>
          <w:sz w:val="22"/>
          <w:szCs w:val="22"/>
        </w:rPr>
        <w:t xml:space="preserve">Le disposizioni del comma 1 si applicano a condizione che gli emittenti indichino di aver emesso gli strumenti finanziari di cui al comma 2 nella dichiarazione dei redditi relativa al periodo d’imposta in cui è avvenuta l’emissione e forniscano separata evidenza, nella relativa dichiarazione dei redditi, dei maggiori o minori valori che ai sensi del comma 1 non concorrono alla formazione del reddito imponibile degli emittenti ai fini dell'imposta sul reddito delle società e del valore della produzione netta al fine di consentire l’accertamento della conformità dell’operazione con le disposizioni dell’articolo 10-bis della legge 27 luglio 2000, n. 212. </w:t>
      </w:r>
    </w:p>
    <w:p w:rsidR="00EA07B0" w:rsidRPr="002279E2" w:rsidRDefault="00EA07B0" w:rsidP="00EA07B0">
      <w:pPr>
        <w:pStyle w:val="Paragrafoelenco"/>
        <w:numPr>
          <w:ilvl w:val="0"/>
          <w:numId w:val="2"/>
        </w:numPr>
        <w:spacing w:after="0" w:line="240" w:lineRule="auto"/>
        <w:ind w:left="0" w:firstLine="0"/>
        <w:rPr>
          <w:rFonts w:ascii="Times New Roman" w:hAnsi="Times New Roman"/>
          <w:lang w:val="it-IT"/>
        </w:rPr>
      </w:pPr>
      <w:r w:rsidRPr="002279E2">
        <w:rPr>
          <w:rFonts w:ascii="Times New Roman" w:hAnsi="Times New Roman"/>
          <w:lang w:val="it-IT"/>
        </w:rPr>
        <w:t xml:space="preserve">È abrogato il comma 22-bis dell’articolo 2 del decreto legge 13 agosto 2011, n. 138, convertito con modificazioni dalla legge 14 settembre 2011, n. 148; per gli strumenti finanziari di cui al comma 22 dello stesso articolo, emessi nei periodi di imposta precedenti a quello in corso alla data di entrata in vigore della presente disposizione, gli obblighi di indicazione di cui al comma 3 si considerano assolti nella dichiarazione dei redditi relativa al periodo d’imposta in corso alla data di entrata in vigore della presente disposizione.  </w:t>
      </w:r>
    </w:p>
    <w:p w:rsidR="00EA07B0" w:rsidRPr="002279E2" w:rsidRDefault="00EA07B0" w:rsidP="00EA07B0">
      <w:pPr>
        <w:pStyle w:val="Paragrafoelenco"/>
        <w:spacing w:after="0" w:line="240" w:lineRule="auto"/>
        <w:rPr>
          <w:rFonts w:ascii="Times New Roman" w:hAnsi="Times New Roman"/>
          <w:i/>
          <w:color w:val="FF0000"/>
          <w:lang w:val="it-IT"/>
        </w:rPr>
      </w:pPr>
    </w:p>
    <w:p w:rsidR="00EA07B0" w:rsidRPr="002279E2" w:rsidRDefault="00EA07B0" w:rsidP="00EA07B0">
      <w:pPr>
        <w:jc w:val="center"/>
        <w:rPr>
          <w:rFonts w:cs="Times New Roman"/>
          <w:b/>
          <w:lang w:eastAsia="it-IT"/>
        </w:rPr>
      </w:pPr>
      <w:r w:rsidRPr="002279E2">
        <w:rPr>
          <w:rFonts w:cs="Times New Roman"/>
          <w:b/>
          <w:lang w:eastAsia="it-IT"/>
        </w:rPr>
        <w:lastRenderedPageBreak/>
        <w:t>Relazione illustrativa</w:t>
      </w:r>
    </w:p>
    <w:p w:rsidR="00EA07B0" w:rsidRPr="002279E2" w:rsidRDefault="00EA07B0" w:rsidP="00EA07B0">
      <w:pPr>
        <w:rPr>
          <w:rFonts w:cs="Times New Roman"/>
          <w:lang w:eastAsia="it-IT"/>
        </w:rPr>
      </w:pPr>
      <w:r w:rsidRPr="002279E2">
        <w:rPr>
          <w:rFonts w:cs="Times New Roman"/>
          <w:lang w:eastAsia="it-IT"/>
        </w:rPr>
        <w:t>La disposizione prevede un regime di non concorrenza alla formazione del reddito imponibile degli emittenti ai fini dell'imposta sul reddito delle società e del valore della produzione netta dei maggiori o minori valori che derivano dall'attuazione di specifiche previsioni contrattuali che governano gli strumenti finanziari, diversi da azioni e titoli similari, con talune caratteristiche che determini la svalutazione del valore nominale degli strumenti ovvero la loro conversione in azioni.</w:t>
      </w:r>
    </w:p>
    <w:p w:rsidR="00EA07B0" w:rsidRPr="002279E2" w:rsidRDefault="00EA07B0" w:rsidP="00EA07B0">
      <w:pPr>
        <w:rPr>
          <w:rFonts w:cs="Times New Roman"/>
          <w:lang w:eastAsia="it-IT"/>
        </w:rPr>
      </w:pPr>
      <w:r w:rsidRPr="002279E2">
        <w:rPr>
          <w:rFonts w:cs="Times New Roman"/>
          <w:lang w:eastAsia="it-IT"/>
        </w:rPr>
        <w:t>Con tale modifica normativa si estende a tutti gli strumenti finanziari con determinate caratteristiche suscettibili di conversione in azione il trattamento fiscale già previsto dall’articolo 2, comma 22-bis, del Decreto Legge n. 138/2011, convertito in Legge 14 settembre 2011, n. 148, per gli strumenti finanziari rilevanti in materia di adeguatezza patrimoniale ai sensi della normativa comunitaria e delle discipline prudenziali nazionali, emessi da intermediari vigilati dalla Banca d'Italia o da soggetti vigilati dall'ISVAP. Contestualmente, si prevede l’abrogazione di tale disposizione specifica.</w:t>
      </w:r>
    </w:p>
    <w:p w:rsidR="00EA07B0" w:rsidRPr="002279E2" w:rsidRDefault="00EA07B0" w:rsidP="00EA07B0">
      <w:pPr>
        <w:rPr>
          <w:rFonts w:cs="Times New Roman"/>
          <w:lang w:eastAsia="it-IT"/>
        </w:rPr>
      </w:pPr>
      <w:r w:rsidRPr="002279E2">
        <w:rPr>
          <w:rFonts w:cs="Times New Roman"/>
          <w:lang w:eastAsia="it-IT"/>
        </w:rPr>
        <w:t>La modifica normativa deriva dalla necessità di adeguarsi alle richieste della Commissione europea, che ha avviato un’indagine nei confronti della citata disposizione nazionale vigente ritenendo che il riconoscimento di un trattamento fiscale in relazione agli utili derivanti da svalutazioni e da conversioni di strumenti finanziari rilevanti in materia di adeguatezza patrimoniale potrebbe presentare criticità sotto il profilo della disciplina europea in materia di aiuti di Stato. Tale disposizione concederebbe un vantaggio selettivo a banche e assicurazioni soggette a vigilanza, prevedendo la non tassazione delle sopravvenienze nel patrimonio netto, che sarebbero invece di regola soggette a tassazione. Le autorità europee hanno pertanto chiesto di allineare il trattamento fiscale in caso di conversione o svalutazioni di strumenti finanziari aventi determinate caratteristiche chiunque sia l’emittente. L’indagine effettuata dalla Commissione europea ha riguardato altri Stati membri dell’Unione europea, cui pure sono state chieste modifiche alle normative nazionali sul trattamento fiscale degli strumenti finanziari convertibili in azioni ritenute non compatibili con le regole europee sulla concorrenza tra imprese già a partire dal 2019, ragione dell’urgenza per l’adozione della misura in questione.</w:t>
      </w:r>
    </w:p>
    <w:p w:rsidR="00EA07B0" w:rsidRPr="002279E2" w:rsidRDefault="00EA07B0" w:rsidP="00EA07B0">
      <w:pPr>
        <w:rPr>
          <w:rFonts w:cs="Times New Roman"/>
          <w:lang w:eastAsia="it-IT"/>
        </w:rPr>
      </w:pPr>
      <w:r w:rsidRPr="002279E2">
        <w:rPr>
          <w:rFonts w:cs="Times New Roman"/>
          <w:lang w:eastAsia="it-IT"/>
        </w:rPr>
        <w:t xml:space="preserve">A tal fine, con il comma 1 viene stabilito che, a determinate condizioni, sia i maggiori valori connessi con le ricordate insussistenze di passività, sia, simmetricamente, i minori valori (riconducibili al ripristino, parziale o totale, del valore degli strumenti) non concorrono alla formazione  del reddito imponibile ai fini IRES e del valore della produzione netta ai fini IRAP. </w:t>
      </w:r>
    </w:p>
    <w:p w:rsidR="00EA07B0" w:rsidRPr="002279E2" w:rsidRDefault="00EA07B0" w:rsidP="00EA07B0">
      <w:pPr>
        <w:rPr>
          <w:rFonts w:cs="Times New Roman"/>
          <w:lang w:eastAsia="it-IT"/>
        </w:rPr>
      </w:pPr>
      <w:r w:rsidRPr="002279E2">
        <w:rPr>
          <w:rFonts w:cs="Times New Roman"/>
          <w:lang w:eastAsia="it-IT"/>
        </w:rPr>
        <w:t>Il particolare trattamento fiscale previsto dal comma 1 si applica solo qualora: a) la variazione di valore o la conversione degli strumenti finanziari derivi dall’attuazione di specifiche previsioni contrattuali; b) gli strumenti finanziari siano diversi, sotto il profilo tributario, da azioni e titoli similari; c) gli strumenti finanziari abbiano le caratteristiche indicate nel comma 2.</w:t>
      </w:r>
    </w:p>
    <w:p w:rsidR="00EA07B0" w:rsidRPr="002279E2" w:rsidRDefault="00EA07B0" w:rsidP="00EA07B0">
      <w:pPr>
        <w:rPr>
          <w:rFonts w:cs="Times New Roman"/>
          <w:lang w:eastAsia="it-IT"/>
        </w:rPr>
      </w:pPr>
      <w:r w:rsidRPr="002279E2">
        <w:rPr>
          <w:rFonts w:cs="Times New Roman"/>
          <w:lang w:eastAsia="it-IT"/>
        </w:rPr>
        <w:t xml:space="preserve">Più specificamente, secondo il comma 2, gli strumenti finanziari in esame non possono essere sottoscritti o acquistati dalla società emittente o da sue controllate o collegate e il cui acquisto non può essere finanziato dalla società emittente. Riguardo alla durata, gli strumenti devono essere perpetui e non possono essere rimborsati o riacquistati dall’emittente prima di 5 anni dall’emissione. Le disposizioni che disciplinano questi strumenti devono prevedere una serie di limitazioni dei diritti del sottoscrittore: in caso di liquidazione dell’attivo, i diritti dei sottoscrittori sono subordinati rispetto a quelli di tutti gli altri creditori dell’emittente; inoltre, eventuali opzioni di riacquisto o di rimborso anticipato possono essere esercitate unicamente dall’emittente; deve essere, infine, prevista anche la possibilità per l’emittente di annullare le distribuzioni relative a questi strumenti e, qualora le distribuzioni siano annullate, le somme non distribuite non possono essere cumulate con quelle successive, né la mancata distribuzione può costituire un caso di insolvenza dell’emittente. </w:t>
      </w:r>
    </w:p>
    <w:p w:rsidR="00EA07B0" w:rsidRPr="002279E2" w:rsidRDefault="00EA07B0" w:rsidP="00EA07B0">
      <w:pPr>
        <w:rPr>
          <w:rFonts w:cs="Times New Roman"/>
          <w:lang w:eastAsia="it-IT"/>
        </w:rPr>
      </w:pPr>
      <w:r w:rsidRPr="002279E2">
        <w:rPr>
          <w:rFonts w:cs="Times New Roman"/>
          <w:lang w:eastAsia="it-IT"/>
        </w:rPr>
        <w:t>È inoltre previsto che gli strumenti finanziari possono essere oggetto, alternativamente, di: a) riduzione, temporanea o permanente, del valore nominale; b) conversione in azioni; c) meccanismi con effetti equivalenti alla riduzione del valore o alla conversione in azioni. Questi eventi devono essere esplicitamente previsti dalle disposizioni che governano gli strumenti finanziari e possono essere riconducibili unicamente al verificarsi di un evento connesso al livello di patrimonializzazione della società, come ad esempio la riduzione sotto un certo livello del rapporto tra patrimonio netto e attivo di bilancio.</w:t>
      </w:r>
    </w:p>
    <w:p w:rsidR="00EA07B0" w:rsidRPr="002279E2" w:rsidRDefault="00EA07B0" w:rsidP="00EA07B0">
      <w:pPr>
        <w:rPr>
          <w:rFonts w:cs="Times New Roman"/>
          <w:lang w:eastAsia="it-IT"/>
        </w:rPr>
      </w:pPr>
      <w:r w:rsidRPr="002279E2">
        <w:rPr>
          <w:rFonts w:cs="Times New Roman"/>
          <w:lang w:eastAsia="it-IT"/>
        </w:rPr>
        <w:t xml:space="preserve">Al fine di prevenire condotte abusive o elusioni poste in essere attraverso l’emissione di strumenti finanziari disciplinati dal presente articolo, il comma 3 fissa due condizioni che gli emittenti devono rispettare per potersi avvalere della disciplina prevista dal comma 1. </w:t>
      </w:r>
    </w:p>
    <w:p w:rsidR="00EA07B0" w:rsidRPr="002279E2" w:rsidRDefault="00EA07B0" w:rsidP="00EA07B0">
      <w:pPr>
        <w:rPr>
          <w:rFonts w:cs="Times New Roman"/>
          <w:lang w:eastAsia="it-IT"/>
        </w:rPr>
      </w:pPr>
      <w:r w:rsidRPr="002279E2">
        <w:rPr>
          <w:rFonts w:cs="Times New Roman"/>
          <w:lang w:eastAsia="it-IT"/>
        </w:rPr>
        <w:t xml:space="preserve">Anzitutto, gli emittenti devono comunicare all’amministrazione finanziaria l’emissione degli strumenti finanziari per i quali richiedono l’applicazione della disciplina di cui al comma 1. Tale comunicazione deve essere effettuata indicando di aver emesso gli strumenti finanziari nella dichiarazione dei redditi relativa al </w:t>
      </w:r>
      <w:r w:rsidRPr="002279E2">
        <w:rPr>
          <w:rFonts w:cs="Times New Roman"/>
          <w:lang w:eastAsia="it-IT"/>
        </w:rPr>
        <w:lastRenderedPageBreak/>
        <w:t xml:space="preserve">periodo d’imposta in cui l’emissione stessa è avvenuta. Inoltre, i maggiori o minori valori che, per l’applicazione del comma 1, non concorrono alla determinazione dell’imponibile ai fini IRES e IRAP devono essere separatamente evidenziati nella relativa dichiarazione dei redditi IRES e nella dichiarazione IRAP. </w:t>
      </w:r>
    </w:p>
    <w:p w:rsidR="00EA07B0" w:rsidRPr="002279E2" w:rsidRDefault="00EA07B0" w:rsidP="00EA07B0">
      <w:pPr>
        <w:rPr>
          <w:rFonts w:cs="Times New Roman"/>
          <w:lang w:eastAsia="it-IT"/>
        </w:rPr>
      </w:pPr>
      <w:r w:rsidRPr="002279E2">
        <w:rPr>
          <w:rFonts w:cs="Times New Roman"/>
          <w:lang w:eastAsia="it-IT"/>
        </w:rPr>
        <w:t>Con il comma 4 viene abrogato il comma 22-bis dell’articolo 2 del decreto legge 13 agosto 2011, n. 138, convertito con modificazioni dalla legge 14 settembre 2011, n. 148, in quanto superato dalla presente disposizione; nel contempo si prevede una disposizione transitoria con la quale si estende il regime della segnalazione in dichiarazione degli strumenti di cui al comma 3 della previsione in commento anche a quelli emessi in virtù del comma 22, dello stesso articolo 2.</w:t>
      </w:r>
    </w:p>
    <w:p w:rsidR="00EA07B0" w:rsidRPr="002279E2" w:rsidRDefault="00EA07B0" w:rsidP="00EA07B0">
      <w:pPr>
        <w:jc w:val="center"/>
        <w:rPr>
          <w:rFonts w:cs="Times New Roman"/>
          <w:b/>
          <w:lang w:eastAsia="it-IT"/>
        </w:rPr>
      </w:pPr>
      <w:r w:rsidRPr="002279E2">
        <w:rPr>
          <w:rFonts w:cs="Times New Roman"/>
          <w:b/>
          <w:lang w:eastAsia="it-IT"/>
        </w:rPr>
        <w:t> </w:t>
      </w:r>
    </w:p>
    <w:p w:rsidR="00EA07B0" w:rsidRPr="002279E2" w:rsidRDefault="00EA07B0" w:rsidP="00EA07B0">
      <w:pPr>
        <w:jc w:val="center"/>
        <w:rPr>
          <w:rFonts w:cs="Times New Roman"/>
          <w:b/>
          <w:lang w:eastAsia="it-IT"/>
        </w:rPr>
      </w:pPr>
      <w:r w:rsidRPr="002279E2">
        <w:rPr>
          <w:rFonts w:cs="Times New Roman"/>
          <w:b/>
          <w:lang w:eastAsia="it-IT"/>
        </w:rPr>
        <w:t>Relazione tecnica</w:t>
      </w:r>
    </w:p>
    <w:p w:rsidR="00EA07B0" w:rsidRPr="002279E2" w:rsidRDefault="00EA07B0" w:rsidP="00EA07B0">
      <w:pPr>
        <w:rPr>
          <w:rFonts w:eastAsia="Times New Roman" w:cs="Times New Roman"/>
          <w:lang w:eastAsia="it-IT"/>
        </w:rPr>
      </w:pPr>
      <w:r w:rsidRPr="002279E2">
        <w:rPr>
          <w:rFonts w:eastAsia="Times New Roman" w:cs="Times New Roman"/>
          <w:lang w:eastAsia="it-IT"/>
        </w:rPr>
        <w:t>La norma in esame stabilisce che i maggiori o minori oneri, derivanti dall’attuazione di specifiche previsioni contrattuali che governano determinati strumenti finanziari, diversi da titoli ed obbligazioni, non concorrano alla formazione del reddito imponibile degli emittenti ai fini dell’imposta sul reddito delle società e del valore della produzione netta. Il comma 2 della disposizione elenca le caratteristiche che tali strumenti devono  possedere per rientrare nel campo di applicazione della norma. In particolare viene stabilito che al verificarsi di un determinato evento connesso al livello di patrimonializzazione della società:</w:t>
      </w:r>
    </w:p>
    <w:p w:rsidR="00EA07B0" w:rsidRPr="002279E2" w:rsidRDefault="00EA07B0" w:rsidP="00826FD7">
      <w:pPr>
        <w:pStyle w:val="Paragrafoelenco"/>
        <w:numPr>
          <w:ilvl w:val="0"/>
          <w:numId w:val="12"/>
        </w:numPr>
        <w:spacing w:after="0" w:line="240" w:lineRule="auto"/>
        <w:ind w:firstLine="0"/>
        <w:rPr>
          <w:rFonts w:ascii="Times New Roman" w:eastAsia="Times New Roman" w:hAnsi="Times New Roman"/>
          <w:lang w:val="it-IT"/>
        </w:rPr>
      </w:pPr>
      <w:r w:rsidRPr="002279E2">
        <w:rPr>
          <w:rFonts w:ascii="Times New Roman" w:eastAsia="Times New Roman" w:hAnsi="Times New Roman"/>
          <w:lang w:val="it-IT"/>
        </w:rPr>
        <w:t>il valore nominale degli strumenti sia svalutato in modo permanente o temporaneo,</w:t>
      </w:r>
    </w:p>
    <w:p w:rsidR="00EA07B0" w:rsidRPr="002279E2" w:rsidRDefault="00EA07B0" w:rsidP="00826FD7">
      <w:pPr>
        <w:pStyle w:val="Paragrafoelenco"/>
        <w:numPr>
          <w:ilvl w:val="0"/>
          <w:numId w:val="12"/>
        </w:numPr>
        <w:spacing w:after="0" w:line="240" w:lineRule="auto"/>
        <w:ind w:firstLine="0"/>
        <w:rPr>
          <w:rFonts w:ascii="Times New Roman" w:eastAsia="Times New Roman" w:hAnsi="Times New Roman"/>
          <w:lang w:val="it-IT"/>
        </w:rPr>
      </w:pPr>
      <w:r w:rsidRPr="002279E2">
        <w:rPr>
          <w:rFonts w:ascii="Times New Roman" w:eastAsia="Times New Roman" w:hAnsi="Times New Roman"/>
          <w:lang w:val="it-IT"/>
        </w:rPr>
        <w:t>gli strumenti siano convertiti in azioni,</w:t>
      </w:r>
    </w:p>
    <w:p w:rsidR="00EA07B0" w:rsidRPr="002279E2" w:rsidRDefault="00EA07B0" w:rsidP="00826FD7">
      <w:pPr>
        <w:pStyle w:val="Paragrafoelenco"/>
        <w:numPr>
          <w:ilvl w:val="0"/>
          <w:numId w:val="12"/>
        </w:numPr>
        <w:spacing w:after="0" w:line="240" w:lineRule="auto"/>
        <w:ind w:firstLine="0"/>
        <w:rPr>
          <w:rFonts w:ascii="Times New Roman" w:eastAsia="Times New Roman" w:hAnsi="Times New Roman"/>
          <w:lang w:val="it-IT"/>
        </w:rPr>
      </w:pPr>
      <w:r w:rsidRPr="002279E2">
        <w:rPr>
          <w:rFonts w:ascii="Times New Roman" w:eastAsia="Times New Roman" w:hAnsi="Times New Roman"/>
          <w:lang w:val="it-IT"/>
        </w:rPr>
        <w:t>venga attivato comunque un meccanismo equivalente ai due punti precedenti,</w:t>
      </w:r>
    </w:p>
    <w:p w:rsidR="00EA07B0" w:rsidRPr="002279E2" w:rsidRDefault="00EA07B0" w:rsidP="00EA07B0">
      <w:pPr>
        <w:rPr>
          <w:rFonts w:eastAsia="Times New Roman" w:cs="Times New Roman"/>
          <w:lang w:eastAsia="it-IT"/>
        </w:rPr>
      </w:pPr>
      <w:r w:rsidRPr="002279E2">
        <w:rPr>
          <w:rFonts w:eastAsia="Times New Roman" w:cs="Times New Roman"/>
          <w:lang w:eastAsia="it-IT"/>
        </w:rPr>
        <w:t xml:space="preserve">La disposizione in questione di fatto estende a tutti i settori economici la misura prevista dall’art. 1, comma 149, della legge n. 147/2013, che trova applicazione nei confronti dei soggetti finanziari. In sede di valutazione della suddetta norma non sono stati ascritti effetti in considerazione del fatto che le eventuali variazioni di valore degli strumenti finanziari oggetto della norma sono legate alle imprevedibili variazioni dei mercati. In ogni caso si riteneva che tali effetti fossero di trascurabile entità. </w:t>
      </w:r>
    </w:p>
    <w:p w:rsidR="00EA07B0" w:rsidRPr="002279E2" w:rsidRDefault="00EA07B0" w:rsidP="00EA07B0">
      <w:pPr>
        <w:rPr>
          <w:rFonts w:eastAsia="Times New Roman" w:cs="Times New Roman"/>
          <w:lang w:eastAsia="it-IT"/>
        </w:rPr>
      </w:pPr>
      <w:r w:rsidRPr="002279E2">
        <w:rPr>
          <w:rFonts w:eastAsia="Times New Roman" w:cs="Times New Roman"/>
          <w:lang w:eastAsia="it-IT"/>
        </w:rPr>
        <w:t>Alla disposizione in esame, coerentemente con la valutazione precedente, non si ascrivono effetti finanziari, alla luce anche del fatto che si può ragionevolmente ritenere che tale tipologia di titoli troverà un utilizzo marginale presso gli operatori economici non finanziari.</w:t>
      </w:r>
    </w:p>
    <w:p w:rsidR="007E4FDC" w:rsidRPr="002279E2" w:rsidRDefault="007E4FDC" w:rsidP="00612935">
      <w:pPr>
        <w:pStyle w:val="Paragrafoelenco"/>
        <w:spacing w:after="0" w:line="240" w:lineRule="auto"/>
        <w:ind w:left="0"/>
        <w:rPr>
          <w:rFonts w:ascii="Times New Roman" w:hAnsi="Times New Roman"/>
          <w:lang w:val="it-IT"/>
        </w:rPr>
      </w:pPr>
    </w:p>
    <w:p w:rsidR="007E4FDC" w:rsidRPr="002279E2" w:rsidRDefault="007E4FDC" w:rsidP="005E06C3">
      <w:pPr>
        <w:pStyle w:val="Titolo2"/>
      </w:pPr>
      <w:bookmarkStart w:id="24" w:name="_Toc4423346"/>
      <w:bookmarkStart w:id="25" w:name="_Toc6937338"/>
      <w:r w:rsidRPr="002279E2">
        <w:t>Articolo</w:t>
      </w:r>
      <w:r w:rsidR="00B30DBD" w:rsidRPr="002279E2">
        <w:t xml:space="preserve"> 10</w:t>
      </w:r>
      <w:r w:rsidRPr="002279E2">
        <w:br/>
        <w:t>(</w:t>
      </w:r>
      <w:r w:rsidR="00FB126F" w:rsidRPr="002279E2">
        <w:t>Modifiche alla disciplina degli incentivi per gli interventi di efficienza energetica e rischio sismico</w:t>
      </w:r>
      <w:r w:rsidRPr="002279E2">
        <w:t>)</w:t>
      </w:r>
      <w:bookmarkEnd w:id="24"/>
      <w:bookmarkEnd w:id="25"/>
    </w:p>
    <w:p w:rsidR="00FB126F" w:rsidRPr="002279E2" w:rsidRDefault="00FB126F" w:rsidP="00612935">
      <w:pPr>
        <w:rPr>
          <w:rFonts w:cs="Times New Roman"/>
        </w:rPr>
      </w:pPr>
      <w:bookmarkStart w:id="26" w:name="_Hlk4001483"/>
      <w:r w:rsidRPr="002279E2">
        <w:rPr>
          <w:rFonts w:cs="Times New Roman"/>
        </w:rPr>
        <w:t>1. All’articolo 14 del decreto-legge 4 giugno 2013, n. 63, convertito, con modificazioni, dalla legge 3 agosto 2013, n. 90, dopo il comma 3, è aggiunto il seguente:</w:t>
      </w:r>
    </w:p>
    <w:p w:rsidR="00FB126F" w:rsidRPr="002279E2" w:rsidRDefault="00FB126F" w:rsidP="00612935">
      <w:pPr>
        <w:autoSpaceDE w:val="0"/>
        <w:autoSpaceDN w:val="0"/>
        <w:adjustRightInd w:val="0"/>
        <w:rPr>
          <w:rFonts w:cs="Times New Roman"/>
          <w:i/>
        </w:rPr>
      </w:pPr>
      <w:r w:rsidRPr="002279E2">
        <w:rPr>
          <w:rFonts w:cs="Times New Roman"/>
        </w:rPr>
        <w:t>“</w:t>
      </w:r>
      <w:r w:rsidRPr="002279E2">
        <w:rPr>
          <w:rFonts w:cs="Times New Roman"/>
          <w:i/>
        </w:rPr>
        <w:t>3.1.</w:t>
      </w:r>
      <w:r w:rsidRPr="002279E2">
        <w:rPr>
          <w:rFonts w:cs="Times New Roman"/>
        </w:rPr>
        <w:t xml:space="preserve"> </w:t>
      </w:r>
      <w:r w:rsidRPr="002279E2">
        <w:rPr>
          <w:rFonts w:cs="Times New Roman"/>
          <w:i/>
        </w:rPr>
        <w:t xml:space="preserve">Per gli interventi di efficienza energetica di cui al presente articolo, il soggetto avente diritto alle detrazioni  può optare, in luogo dell’utilizzo diretto delle stesse, per un contributo di pari ammontare, sotto forma di sconto sul corrispettivo dovuto, anticipato dal fornitore che ha effettuato gli interventi e a quest’ultimo rimborsato sotto forma di credito d'imposta da utilizzare </w:t>
      </w:r>
      <w:r w:rsidR="000D61B6">
        <w:rPr>
          <w:rFonts w:cs="Times New Roman"/>
          <w:i/>
        </w:rPr>
        <w:t xml:space="preserve">esclusivamente </w:t>
      </w:r>
      <w:r w:rsidRPr="002279E2">
        <w:rPr>
          <w:rFonts w:cs="Times New Roman"/>
          <w:i/>
        </w:rPr>
        <w:t>in compensazione, in cinque quote annuali di pari importo, ai sensi dell'articolo 17 del decreto legislativo 9 luglio 1997, n. 241, senza l’applicazione dei limiti di cui all’articolo 34 della legge 23 dicembre 2000, n. 388, e all'articolo 1, comma 53, della legge 24 dicembre 2007, n. 244</w:t>
      </w:r>
      <w:r w:rsidRPr="008004E7">
        <w:rPr>
          <w:rFonts w:cs="Times New Roman"/>
          <w:i/>
        </w:rPr>
        <w:t>.</w:t>
      </w:r>
      <w:r w:rsidR="000D61B6">
        <w:rPr>
          <w:rFonts w:cs="Times New Roman"/>
          <w:i/>
        </w:rPr>
        <w:t>”.</w:t>
      </w:r>
      <w:r w:rsidR="008004E7" w:rsidRPr="008004E7">
        <w:rPr>
          <w:i/>
          <w:iCs/>
        </w:rPr>
        <w:t xml:space="preserve"> </w:t>
      </w:r>
    </w:p>
    <w:p w:rsidR="00FB126F" w:rsidRPr="002279E2" w:rsidRDefault="00FB126F" w:rsidP="00612935">
      <w:pPr>
        <w:rPr>
          <w:rFonts w:cs="Times New Roman"/>
        </w:rPr>
      </w:pPr>
      <w:r w:rsidRPr="002279E2">
        <w:rPr>
          <w:rFonts w:cs="Times New Roman"/>
        </w:rPr>
        <w:t>2. All’articolo 16 del decreto-legge 4 giugno 2013, n. 63, convertito, con modificazioni, dalla legge 3 agosto 2013, n. 90, dopo il comma 1-</w:t>
      </w:r>
      <w:r w:rsidRPr="002279E2">
        <w:rPr>
          <w:rFonts w:cs="Times New Roman"/>
          <w:i/>
        </w:rPr>
        <w:t>septies</w:t>
      </w:r>
      <w:r w:rsidRPr="002279E2">
        <w:rPr>
          <w:rFonts w:cs="Times New Roman"/>
        </w:rPr>
        <w:t>, è aggiunto il seguente:</w:t>
      </w:r>
    </w:p>
    <w:p w:rsidR="000D61B6" w:rsidRDefault="00FB126F" w:rsidP="00612935">
      <w:pPr>
        <w:autoSpaceDE w:val="0"/>
        <w:autoSpaceDN w:val="0"/>
        <w:adjustRightInd w:val="0"/>
        <w:rPr>
          <w:i/>
          <w:iCs/>
        </w:rPr>
      </w:pPr>
      <w:r w:rsidRPr="002279E2">
        <w:rPr>
          <w:rFonts w:cs="Times New Roman"/>
        </w:rPr>
        <w:t>“</w:t>
      </w:r>
      <w:r w:rsidRPr="002279E2">
        <w:rPr>
          <w:rFonts w:cs="Times New Roman"/>
          <w:i/>
        </w:rPr>
        <w:t>1-octies.</w:t>
      </w:r>
      <w:r w:rsidRPr="002279E2">
        <w:rPr>
          <w:rFonts w:cs="Times New Roman"/>
        </w:rPr>
        <w:t xml:space="preserve"> </w:t>
      </w:r>
      <w:r w:rsidRPr="002279E2">
        <w:rPr>
          <w:rFonts w:cs="Times New Roman"/>
          <w:i/>
        </w:rPr>
        <w:t xml:space="preserve">Per gli interventi di adozione di misure antisismiche di cui al presente articolo, il soggetto avente diritto alle detrazioni può optare, in luogo dell’utilizzo diretto delle stesse, per un contributo di pari ammontare, sotto forma di sconto sul corrispettivo dovuto, anticipato dal fornitore che ha effettuato gli interventi e a quest’ultimo rimborsato sotto forma di credito d'imposta da utilizzare </w:t>
      </w:r>
      <w:r w:rsidR="0020785F">
        <w:rPr>
          <w:rFonts w:cs="Times New Roman"/>
          <w:i/>
        </w:rPr>
        <w:t xml:space="preserve">esclusivamente </w:t>
      </w:r>
      <w:r w:rsidRPr="002279E2">
        <w:rPr>
          <w:rFonts w:cs="Times New Roman"/>
          <w:i/>
        </w:rPr>
        <w:t>in compensazione, in cinque quote annuali di pari importo, ai sensi dell'articolo 17 del decreto legislativo 9 luglio 1997, n. 241,</w:t>
      </w:r>
      <w:r w:rsidRPr="002279E2">
        <w:rPr>
          <w:rFonts w:cs="Times New Roman"/>
        </w:rPr>
        <w:t xml:space="preserve"> </w:t>
      </w:r>
      <w:r w:rsidRPr="002279E2">
        <w:rPr>
          <w:rFonts w:cs="Times New Roman"/>
          <w:i/>
        </w:rPr>
        <w:t>senza l’applicazione dei limiti di cui all’articolo 34 della legge 23 dicembre 2000, n. 388, e all'articolo 1, comma 53, della legge 24 dicembre 2007, n. 244</w:t>
      </w:r>
      <w:r w:rsidRPr="008004E7">
        <w:rPr>
          <w:rFonts w:cs="Times New Roman"/>
          <w:i/>
        </w:rPr>
        <w:t>.</w:t>
      </w:r>
      <w:r w:rsidR="000D61B6">
        <w:rPr>
          <w:rFonts w:cs="Times New Roman"/>
          <w:i/>
        </w:rPr>
        <w:t>”.</w:t>
      </w:r>
    </w:p>
    <w:p w:rsidR="00FB126F" w:rsidRPr="002279E2" w:rsidRDefault="00FB126F" w:rsidP="00612935">
      <w:pPr>
        <w:autoSpaceDE w:val="0"/>
        <w:autoSpaceDN w:val="0"/>
        <w:adjustRightInd w:val="0"/>
        <w:rPr>
          <w:rFonts w:cs="Times New Roman"/>
        </w:rPr>
      </w:pPr>
      <w:r w:rsidRPr="002279E2">
        <w:rPr>
          <w:rFonts w:cs="Times New Roman"/>
        </w:rPr>
        <w:t>3. Con provvedimento del direttore dell'Agenzia delle entrate, da emanare entro trenta giorni dalla data di entrata in vigore della legge di conversione del presente decreto, sono definite le modalità attuative delle disposizioni di cui ai commi 1 e 2, comprese quelle relative all’esercizio dell’opzione da effettuarsi d’intesa con il fornitore.</w:t>
      </w:r>
    </w:p>
    <w:bookmarkEnd w:id="26"/>
    <w:p w:rsidR="00FB126F" w:rsidRPr="002279E2" w:rsidRDefault="00FB126F" w:rsidP="00612935">
      <w:pPr>
        <w:autoSpaceDE w:val="0"/>
        <w:autoSpaceDN w:val="0"/>
        <w:adjustRightInd w:val="0"/>
        <w:rPr>
          <w:rFonts w:cs="Times New Roman"/>
          <w:i/>
        </w:rPr>
      </w:pPr>
    </w:p>
    <w:p w:rsidR="00FB126F" w:rsidRPr="002279E2" w:rsidRDefault="00FB126F" w:rsidP="00612935">
      <w:pPr>
        <w:jc w:val="center"/>
        <w:rPr>
          <w:rFonts w:cs="Times New Roman"/>
          <w:b/>
          <w:lang w:eastAsia="it-IT"/>
        </w:rPr>
      </w:pPr>
      <w:r w:rsidRPr="002279E2">
        <w:rPr>
          <w:rFonts w:cs="Times New Roman"/>
          <w:b/>
          <w:lang w:eastAsia="it-IT"/>
        </w:rPr>
        <w:t>Relazione illustrativa</w:t>
      </w:r>
    </w:p>
    <w:p w:rsidR="00FB126F" w:rsidRPr="002279E2" w:rsidRDefault="00FB126F" w:rsidP="00612935">
      <w:pPr>
        <w:rPr>
          <w:rFonts w:eastAsia="Arial Unicode MS" w:cs="Times New Roman"/>
          <w:color w:val="000000"/>
        </w:rPr>
      </w:pPr>
      <w:r w:rsidRPr="002279E2">
        <w:rPr>
          <w:rFonts w:eastAsia="Arial Unicode MS" w:cs="Times New Roman"/>
          <w:color w:val="000000"/>
        </w:rPr>
        <w:lastRenderedPageBreak/>
        <w:t xml:space="preserve">Con l’obiettivo di incentivare la realizzazione di interventi di efficientamento energetico e di prevenzione del rischio sismico, superando alcune criticità operative riscontrate nel funzionamento dello strumento della detrazione fiscale, la disposizione, integrando i meccanismi esistenti, introduce la possibilità per il soggetto che sostiene le spese per gli interventi di cui agli articoli 14 e 16 del decreto-legge 4 giugno 2013, n. 63, di ricevere un contributo, anticipato dal fornitore che ha effettuato l’intervento, sotto forma di sconto sul corrispettivo spettante. Tale contributo è recuperato dal fornitore </w:t>
      </w:r>
      <w:r w:rsidR="009D05E2">
        <w:rPr>
          <w:rFonts w:eastAsia="Arial Unicode MS" w:cs="Times New Roman"/>
          <w:color w:val="000000"/>
        </w:rPr>
        <w:t xml:space="preserve">esclusivamente </w:t>
      </w:r>
      <w:r w:rsidRPr="002279E2">
        <w:rPr>
          <w:rFonts w:eastAsia="Arial Unicode MS" w:cs="Times New Roman"/>
          <w:color w:val="000000"/>
        </w:rPr>
        <w:t>sotto forma di credito d'imposta, di pari ammontare, da utilizzare in compensazione, in cinque quote annuali di pari importo, senza l’applicazione dei limiti di compensabilità.</w:t>
      </w:r>
    </w:p>
    <w:p w:rsidR="00FB126F" w:rsidRPr="002279E2" w:rsidRDefault="00FB126F" w:rsidP="00612935">
      <w:pPr>
        <w:autoSpaceDE w:val="0"/>
        <w:autoSpaceDN w:val="0"/>
        <w:adjustRightInd w:val="0"/>
        <w:rPr>
          <w:rFonts w:cs="Times New Roman"/>
          <w:b/>
        </w:rPr>
      </w:pPr>
    </w:p>
    <w:p w:rsidR="00FB126F" w:rsidRPr="002279E2" w:rsidRDefault="00FB126F" w:rsidP="00612935">
      <w:pPr>
        <w:jc w:val="center"/>
        <w:rPr>
          <w:rFonts w:cs="Times New Roman"/>
          <w:b/>
          <w:lang w:eastAsia="it-IT"/>
        </w:rPr>
      </w:pPr>
      <w:r w:rsidRPr="002279E2">
        <w:rPr>
          <w:rFonts w:cs="Times New Roman"/>
          <w:b/>
          <w:lang w:eastAsia="it-IT"/>
        </w:rPr>
        <w:t>Relazione tecnica</w:t>
      </w:r>
    </w:p>
    <w:p w:rsidR="00FB126F" w:rsidRPr="002279E2" w:rsidRDefault="00FB126F" w:rsidP="00612935">
      <w:pPr>
        <w:rPr>
          <w:rFonts w:eastAsia="Arial Unicode MS" w:cs="Times New Roman"/>
          <w:color w:val="000000"/>
          <w:u w:color="000000"/>
        </w:rPr>
      </w:pPr>
      <w:r w:rsidRPr="002279E2">
        <w:rPr>
          <w:rFonts w:eastAsia="Arial Unicode MS" w:cs="Times New Roman"/>
          <w:color w:val="000000"/>
          <w:u w:color="000000"/>
        </w:rPr>
        <w:t xml:space="preserve">La norma in esame dispone la possibilità per il soggetto che sostiene le spese per interventi di efficienza energetica di cui all’articolo 14 del decreto-legge 4 giugno 2013 e antisismici di cui all’articolo 16 del D.L. 4 giugno 2013 n. 63, di ricevere un contributo anticipato dal fornitore che ha effettuato l’intervento sotto forma di sconto sul corrispettivo spettante. Tale contributo sarà </w:t>
      </w:r>
      <w:r w:rsidR="009D05E2">
        <w:rPr>
          <w:rFonts w:eastAsia="Arial Unicode MS" w:cs="Times New Roman"/>
          <w:color w:val="000000"/>
          <w:u w:color="000000"/>
        </w:rPr>
        <w:t>recuperato d</w:t>
      </w:r>
      <w:r w:rsidRPr="002279E2">
        <w:rPr>
          <w:rFonts w:eastAsia="Arial Unicode MS" w:cs="Times New Roman"/>
          <w:color w:val="000000"/>
          <w:u w:color="000000"/>
        </w:rPr>
        <w:t xml:space="preserve">al fornitore </w:t>
      </w:r>
      <w:r w:rsidR="009D05E2">
        <w:rPr>
          <w:rFonts w:eastAsia="Arial Unicode MS" w:cs="Times New Roman"/>
          <w:color w:val="000000"/>
          <w:u w:color="000000"/>
        </w:rPr>
        <w:t xml:space="preserve">esclusivamente </w:t>
      </w:r>
      <w:r w:rsidRPr="002279E2">
        <w:rPr>
          <w:rFonts w:eastAsia="Arial Unicode MS" w:cs="Times New Roman"/>
          <w:color w:val="000000"/>
          <w:u w:color="000000"/>
        </w:rPr>
        <w:t>sotto forma di credito d'imposta di pari ammontare, da utilizzare in compensazione, in cinque quote annuali di pari importo.</w:t>
      </w:r>
    </w:p>
    <w:p w:rsidR="00FB126F" w:rsidRPr="002279E2" w:rsidRDefault="00FB126F" w:rsidP="00612935">
      <w:pPr>
        <w:pStyle w:val="Default"/>
        <w:rPr>
          <w:rFonts w:ascii="Times New Roman" w:hAnsi="Times New Roman" w:cs="Times New Roman"/>
          <w:sz w:val="22"/>
          <w:szCs w:val="22"/>
        </w:rPr>
      </w:pPr>
    </w:p>
    <w:p w:rsidR="00FB126F" w:rsidRPr="002279E2" w:rsidRDefault="00FB126F" w:rsidP="00612935">
      <w:pPr>
        <w:rPr>
          <w:rFonts w:eastAsia="Arial Unicode MS" w:cs="Times New Roman"/>
          <w:color w:val="000000"/>
          <w:u w:color="000000"/>
        </w:rPr>
      </w:pPr>
      <w:r w:rsidRPr="002279E2">
        <w:rPr>
          <w:rFonts w:eastAsia="Arial Unicode MS" w:cs="Times New Roman"/>
          <w:color w:val="000000"/>
          <w:u w:color="000000"/>
        </w:rPr>
        <w:t>Ai fini della stima si ipotizza che l’emendamento determini un incremento pari all’1% delle spese annue sostenute per gli interventi in oggetto e si ipotizza che un ulteriore 1% sia relativo alle spese agevolate dalla legislazione vigente. Applicando i dati e la metodologia utilizzati nelle relazioni tecniche a corredo degli ultimi interventi di proroga delle agevolazioni citate, nell’ipotesi che la norma entri in vigore a partire dall’anno di imposta 2019, si stimano i seguenti effetti finanziari (in milioni di euro):</w:t>
      </w:r>
    </w:p>
    <w:p w:rsidR="00FB126F" w:rsidRPr="002279E2" w:rsidRDefault="00FB126F" w:rsidP="00612935">
      <w:pPr>
        <w:rPr>
          <w:rFonts w:eastAsia="Arial Unicode MS" w:cs="Times New Roman"/>
          <w:color w:val="000000"/>
          <w:u w:color="000000"/>
        </w:rPr>
      </w:pPr>
    </w:p>
    <w:tbl>
      <w:tblPr>
        <w:tblW w:w="5000" w:type="pct"/>
        <w:tblCellMar>
          <w:left w:w="70" w:type="dxa"/>
          <w:right w:w="70" w:type="dxa"/>
        </w:tblCellMar>
        <w:tblLook w:val="04A0" w:firstRow="1" w:lastRow="0" w:firstColumn="1" w:lastColumn="0" w:noHBand="0" w:noVBand="1"/>
      </w:tblPr>
      <w:tblGrid>
        <w:gridCol w:w="1375"/>
        <w:gridCol w:w="806"/>
        <w:gridCol w:w="644"/>
        <w:gridCol w:w="644"/>
        <w:gridCol w:w="644"/>
        <w:gridCol w:w="619"/>
        <w:gridCol w:w="645"/>
        <w:gridCol w:w="672"/>
        <w:gridCol w:w="645"/>
        <w:gridCol w:w="645"/>
        <w:gridCol w:w="645"/>
        <w:gridCol w:w="645"/>
        <w:gridCol w:w="645"/>
        <w:gridCol w:w="645"/>
      </w:tblGrid>
      <w:tr w:rsidR="00FB126F" w:rsidRPr="002279E2" w:rsidTr="002A0D74">
        <w:trPr>
          <w:trHeight w:val="285"/>
        </w:trPr>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26F" w:rsidRPr="002279E2" w:rsidRDefault="00FB126F" w:rsidP="00612935">
            <w:pPr>
              <w:rPr>
                <w:rFonts w:eastAsia="Times New Roman" w:cs="Times New Roman"/>
                <w:b/>
                <w:bCs/>
                <w:color w:val="000000"/>
                <w:lang w:eastAsia="it-IT"/>
              </w:rPr>
            </w:pPr>
            <w:r w:rsidRPr="002279E2">
              <w:rPr>
                <w:rFonts w:eastAsia="Times New Roman" w:cs="Times New Roman"/>
                <w:b/>
                <w:bCs/>
                <w:color w:val="000000"/>
                <w:lang w:eastAsia="it-IT"/>
              </w:rPr>
              <w:t> </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jc w:val="center"/>
              <w:rPr>
                <w:rFonts w:eastAsia="Times New Roman" w:cs="Times New Roman"/>
                <w:b/>
                <w:bCs/>
                <w:color w:val="000000"/>
                <w:lang w:eastAsia="it-IT"/>
              </w:rPr>
            </w:pPr>
            <w:r w:rsidRPr="002279E2">
              <w:rPr>
                <w:rFonts w:eastAsia="Times New Roman" w:cs="Times New Roman"/>
                <w:b/>
                <w:bCs/>
                <w:color w:val="000000"/>
                <w:lang w:eastAsia="it-IT"/>
              </w:rPr>
              <w:t>2019</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jc w:val="center"/>
              <w:rPr>
                <w:rFonts w:eastAsia="Times New Roman" w:cs="Times New Roman"/>
                <w:b/>
                <w:bCs/>
                <w:color w:val="000000"/>
                <w:lang w:eastAsia="it-IT"/>
              </w:rPr>
            </w:pPr>
            <w:r w:rsidRPr="002279E2">
              <w:rPr>
                <w:rFonts w:eastAsia="Times New Roman" w:cs="Times New Roman"/>
                <w:b/>
                <w:bCs/>
                <w:color w:val="000000"/>
                <w:lang w:eastAsia="it-IT"/>
              </w:rPr>
              <w:t>2020</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jc w:val="center"/>
              <w:rPr>
                <w:rFonts w:eastAsia="Times New Roman" w:cs="Times New Roman"/>
                <w:b/>
                <w:bCs/>
                <w:color w:val="000000"/>
                <w:lang w:eastAsia="it-IT"/>
              </w:rPr>
            </w:pPr>
            <w:r w:rsidRPr="002279E2">
              <w:rPr>
                <w:rFonts w:eastAsia="Times New Roman" w:cs="Times New Roman"/>
                <w:b/>
                <w:bCs/>
                <w:color w:val="000000"/>
                <w:lang w:eastAsia="it-IT"/>
              </w:rPr>
              <w:t>2021</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jc w:val="center"/>
              <w:rPr>
                <w:rFonts w:eastAsia="Times New Roman" w:cs="Times New Roman"/>
                <w:b/>
                <w:bCs/>
                <w:color w:val="000000"/>
                <w:lang w:eastAsia="it-IT"/>
              </w:rPr>
            </w:pPr>
            <w:r w:rsidRPr="002279E2">
              <w:rPr>
                <w:rFonts w:eastAsia="Times New Roman" w:cs="Times New Roman"/>
                <w:b/>
                <w:bCs/>
                <w:color w:val="000000"/>
                <w:lang w:eastAsia="it-IT"/>
              </w:rPr>
              <w:t>2022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jc w:val="center"/>
              <w:rPr>
                <w:rFonts w:eastAsia="Times New Roman" w:cs="Times New Roman"/>
                <w:b/>
                <w:bCs/>
                <w:color w:val="000000"/>
                <w:lang w:eastAsia="it-IT"/>
              </w:rPr>
            </w:pPr>
            <w:r w:rsidRPr="002279E2">
              <w:rPr>
                <w:rFonts w:eastAsia="Times New Roman" w:cs="Times New Roman"/>
                <w:b/>
                <w:bCs/>
                <w:color w:val="000000"/>
                <w:lang w:eastAsia="it-IT"/>
              </w:rPr>
              <w:t>2023</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jc w:val="center"/>
              <w:rPr>
                <w:rFonts w:eastAsia="Times New Roman" w:cs="Times New Roman"/>
                <w:b/>
                <w:bCs/>
                <w:color w:val="000000"/>
                <w:lang w:eastAsia="it-IT"/>
              </w:rPr>
            </w:pPr>
            <w:r w:rsidRPr="002279E2">
              <w:rPr>
                <w:rFonts w:eastAsia="Times New Roman" w:cs="Times New Roman"/>
                <w:b/>
                <w:bCs/>
                <w:color w:val="000000"/>
                <w:lang w:eastAsia="it-IT"/>
              </w:rPr>
              <w:t>2024</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jc w:val="center"/>
              <w:rPr>
                <w:rFonts w:eastAsia="Times New Roman" w:cs="Times New Roman"/>
                <w:b/>
                <w:bCs/>
                <w:color w:val="000000"/>
                <w:lang w:eastAsia="it-IT"/>
              </w:rPr>
            </w:pPr>
            <w:r w:rsidRPr="002279E2">
              <w:rPr>
                <w:rFonts w:eastAsia="Times New Roman" w:cs="Times New Roman"/>
                <w:b/>
                <w:bCs/>
                <w:color w:val="000000"/>
                <w:lang w:eastAsia="it-IT"/>
              </w:rPr>
              <w:t>2025</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jc w:val="center"/>
              <w:rPr>
                <w:rFonts w:eastAsia="Times New Roman" w:cs="Times New Roman"/>
                <w:b/>
                <w:bCs/>
                <w:color w:val="000000"/>
                <w:lang w:eastAsia="it-IT"/>
              </w:rPr>
            </w:pPr>
            <w:r w:rsidRPr="002279E2">
              <w:rPr>
                <w:rFonts w:eastAsia="Times New Roman" w:cs="Times New Roman"/>
                <w:b/>
                <w:bCs/>
                <w:color w:val="000000"/>
                <w:lang w:eastAsia="it-IT"/>
              </w:rPr>
              <w:t>2026</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jc w:val="center"/>
              <w:rPr>
                <w:rFonts w:eastAsia="Times New Roman" w:cs="Times New Roman"/>
                <w:b/>
                <w:bCs/>
                <w:color w:val="000000"/>
                <w:lang w:eastAsia="it-IT"/>
              </w:rPr>
            </w:pPr>
            <w:r w:rsidRPr="002279E2">
              <w:rPr>
                <w:rFonts w:eastAsia="Times New Roman" w:cs="Times New Roman"/>
                <w:b/>
                <w:bCs/>
                <w:color w:val="000000"/>
                <w:lang w:eastAsia="it-IT"/>
              </w:rPr>
              <w:t>2027</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jc w:val="center"/>
              <w:rPr>
                <w:rFonts w:eastAsia="Times New Roman" w:cs="Times New Roman"/>
                <w:b/>
                <w:bCs/>
                <w:color w:val="000000"/>
                <w:lang w:eastAsia="it-IT"/>
              </w:rPr>
            </w:pPr>
            <w:r w:rsidRPr="002279E2">
              <w:rPr>
                <w:rFonts w:eastAsia="Times New Roman" w:cs="Times New Roman"/>
                <w:b/>
                <w:bCs/>
                <w:color w:val="000000"/>
                <w:lang w:eastAsia="it-IT"/>
              </w:rPr>
              <w:t>2028</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jc w:val="center"/>
              <w:rPr>
                <w:rFonts w:eastAsia="Times New Roman" w:cs="Times New Roman"/>
                <w:b/>
                <w:bCs/>
                <w:color w:val="000000"/>
                <w:lang w:eastAsia="it-IT"/>
              </w:rPr>
            </w:pPr>
            <w:r w:rsidRPr="002279E2">
              <w:rPr>
                <w:rFonts w:eastAsia="Times New Roman" w:cs="Times New Roman"/>
                <w:b/>
                <w:bCs/>
                <w:color w:val="000000"/>
                <w:lang w:eastAsia="it-IT"/>
              </w:rPr>
              <w:t>2029</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jc w:val="center"/>
              <w:rPr>
                <w:rFonts w:eastAsia="Times New Roman" w:cs="Times New Roman"/>
                <w:b/>
                <w:bCs/>
                <w:color w:val="000000"/>
                <w:lang w:eastAsia="it-IT"/>
              </w:rPr>
            </w:pPr>
            <w:r w:rsidRPr="002279E2">
              <w:rPr>
                <w:rFonts w:eastAsia="Times New Roman" w:cs="Times New Roman"/>
                <w:b/>
                <w:bCs/>
                <w:color w:val="000000"/>
                <w:lang w:eastAsia="it-IT"/>
              </w:rPr>
              <w:t>2030</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FB126F" w:rsidRPr="002279E2" w:rsidRDefault="00FB126F" w:rsidP="00612935">
            <w:pPr>
              <w:jc w:val="center"/>
              <w:rPr>
                <w:rFonts w:eastAsia="Times New Roman" w:cs="Times New Roman"/>
                <w:b/>
                <w:bCs/>
                <w:color w:val="000000"/>
                <w:lang w:eastAsia="it-IT"/>
              </w:rPr>
            </w:pPr>
            <w:r w:rsidRPr="002279E2">
              <w:rPr>
                <w:rFonts w:eastAsia="Times New Roman" w:cs="Times New Roman"/>
                <w:b/>
                <w:bCs/>
                <w:color w:val="000000"/>
                <w:lang w:eastAsia="it-IT"/>
              </w:rPr>
              <w:t>2031</w:t>
            </w:r>
          </w:p>
        </w:tc>
      </w:tr>
      <w:tr w:rsidR="00FB126F" w:rsidRPr="002279E2" w:rsidTr="002A0D74">
        <w:trPr>
          <w:trHeight w:val="300"/>
        </w:trPr>
        <w:tc>
          <w:tcPr>
            <w:tcW w:w="650" w:type="pct"/>
            <w:tcBorders>
              <w:top w:val="nil"/>
              <w:left w:val="single" w:sz="4" w:space="0" w:color="auto"/>
              <w:bottom w:val="single" w:sz="4" w:space="0" w:color="auto"/>
              <w:right w:val="single" w:sz="4" w:space="0" w:color="auto"/>
            </w:tcBorders>
            <w:shd w:val="clear" w:color="auto" w:fill="auto"/>
            <w:vAlign w:val="center"/>
            <w:hideMark/>
          </w:tcPr>
          <w:p w:rsidR="00FB126F" w:rsidRPr="002279E2" w:rsidRDefault="00FB126F" w:rsidP="00612935">
            <w:pPr>
              <w:rPr>
                <w:rFonts w:eastAsia="Times New Roman" w:cs="Times New Roman"/>
                <w:b/>
                <w:bCs/>
                <w:color w:val="000000"/>
                <w:lang w:eastAsia="it-IT"/>
              </w:rPr>
            </w:pPr>
            <w:r w:rsidRPr="002279E2">
              <w:rPr>
                <w:rFonts w:eastAsia="Times New Roman" w:cs="Times New Roman"/>
                <w:b/>
                <w:bCs/>
                <w:color w:val="000000"/>
                <w:lang w:eastAsia="it-IT"/>
              </w:rPr>
              <w:t>IRPEF/IRES</w:t>
            </w:r>
          </w:p>
        </w:tc>
        <w:tc>
          <w:tcPr>
            <w:tcW w:w="410"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0,8</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8,5</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9,6</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11,8</w:t>
            </w:r>
          </w:p>
        </w:tc>
        <w:tc>
          <w:tcPr>
            <w:tcW w:w="315"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10,2</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10,2</w:t>
            </w:r>
          </w:p>
        </w:tc>
        <w:tc>
          <w:tcPr>
            <w:tcW w:w="342"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5,7</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3,2</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0,6</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2,5</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2,5</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-1,9</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0,0</w:t>
            </w:r>
          </w:p>
        </w:tc>
      </w:tr>
      <w:tr w:rsidR="00FB126F" w:rsidRPr="002279E2" w:rsidTr="002A0D74">
        <w:trPr>
          <w:trHeight w:val="300"/>
        </w:trPr>
        <w:tc>
          <w:tcPr>
            <w:tcW w:w="650" w:type="pct"/>
            <w:tcBorders>
              <w:top w:val="nil"/>
              <w:left w:val="single" w:sz="4" w:space="0" w:color="auto"/>
              <w:bottom w:val="single" w:sz="4" w:space="0" w:color="auto"/>
              <w:right w:val="single" w:sz="4" w:space="0" w:color="auto"/>
            </w:tcBorders>
            <w:shd w:val="clear" w:color="auto" w:fill="auto"/>
            <w:vAlign w:val="center"/>
            <w:hideMark/>
          </w:tcPr>
          <w:p w:rsidR="00FB126F" w:rsidRPr="002279E2" w:rsidRDefault="00FB126F" w:rsidP="00612935">
            <w:pPr>
              <w:rPr>
                <w:rFonts w:eastAsia="Times New Roman" w:cs="Times New Roman"/>
                <w:b/>
                <w:bCs/>
                <w:color w:val="000000"/>
                <w:lang w:eastAsia="it-IT"/>
              </w:rPr>
            </w:pPr>
            <w:r w:rsidRPr="002279E2">
              <w:rPr>
                <w:rFonts w:eastAsia="Times New Roman" w:cs="Times New Roman"/>
                <w:b/>
                <w:bCs/>
                <w:color w:val="000000"/>
                <w:lang w:eastAsia="it-IT"/>
              </w:rPr>
              <w:t>Credito</w:t>
            </w:r>
          </w:p>
        </w:tc>
        <w:tc>
          <w:tcPr>
            <w:tcW w:w="410"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-15,2</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-15,2</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-15,2</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-15,2</w:t>
            </w:r>
          </w:p>
        </w:tc>
        <w:tc>
          <w:tcPr>
            <w:tcW w:w="315"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-15,2</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0,0</w:t>
            </w:r>
          </w:p>
        </w:tc>
        <w:tc>
          <w:tcPr>
            <w:tcW w:w="342"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0,0</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0,0</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0,0</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0,0</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0,0</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0,0</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lang w:eastAsia="it-IT"/>
              </w:rPr>
            </w:pPr>
            <w:r w:rsidRPr="002279E2">
              <w:rPr>
                <w:rFonts w:eastAsia="Times New Roman" w:cs="Times New Roman"/>
                <w:lang w:eastAsia="it-IT"/>
              </w:rPr>
              <w:t>0,0</w:t>
            </w:r>
          </w:p>
        </w:tc>
      </w:tr>
      <w:tr w:rsidR="00FB126F" w:rsidRPr="002279E2" w:rsidTr="002A0D74">
        <w:trPr>
          <w:trHeight w:val="285"/>
        </w:trPr>
        <w:tc>
          <w:tcPr>
            <w:tcW w:w="650" w:type="pct"/>
            <w:tcBorders>
              <w:top w:val="nil"/>
              <w:left w:val="single" w:sz="4" w:space="0" w:color="auto"/>
              <w:bottom w:val="single" w:sz="4" w:space="0" w:color="auto"/>
              <w:right w:val="single" w:sz="4" w:space="0" w:color="auto"/>
            </w:tcBorders>
            <w:shd w:val="clear" w:color="auto" w:fill="auto"/>
            <w:vAlign w:val="center"/>
            <w:hideMark/>
          </w:tcPr>
          <w:p w:rsidR="00FB126F" w:rsidRPr="002279E2" w:rsidRDefault="00FB126F" w:rsidP="00612935">
            <w:pPr>
              <w:rPr>
                <w:rFonts w:eastAsia="Times New Roman" w:cs="Times New Roman"/>
                <w:b/>
                <w:bCs/>
                <w:color w:val="000000"/>
                <w:lang w:eastAsia="it-IT"/>
              </w:rPr>
            </w:pPr>
            <w:r w:rsidRPr="002279E2">
              <w:rPr>
                <w:rFonts w:eastAsia="Times New Roman" w:cs="Times New Roman"/>
                <w:b/>
                <w:bCs/>
                <w:color w:val="000000"/>
                <w:lang w:eastAsia="it-IT"/>
              </w:rPr>
              <w:t>Totale</w:t>
            </w:r>
          </w:p>
        </w:tc>
        <w:tc>
          <w:tcPr>
            <w:tcW w:w="410"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b/>
                <w:bCs/>
                <w:lang w:eastAsia="it-IT"/>
              </w:rPr>
            </w:pPr>
            <w:r w:rsidRPr="002279E2">
              <w:rPr>
                <w:rFonts w:eastAsia="Times New Roman" w:cs="Times New Roman"/>
                <w:b/>
                <w:bCs/>
                <w:lang w:eastAsia="it-IT"/>
              </w:rPr>
              <w:t>-14,4</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b/>
                <w:bCs/>
                <w:lang w:eastAsia="it-IT"/>
              </w:rPr>
            </w:pPr>
            <w:r w:rsidRPr="002279E2">
              <w:rPr>
                <w:rFonts w:eastAsia="Times New Roman" w:cs="Times New Roman"/>
                <w:b/>
                <w:bCs/>
                <w:lang w:eastAsia="it-IT"/>
              </w:rPr>
              <w:t>-6,7</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b/>
                <w:bCs/>
                <w:lang w:eastAsia="it-IT"/>
              </w:rPr>
            </w:pPr>
            <w:r w:rsidRPr="002279E2">
              <w:rPr>
                <w:rFonts w:eastAsia="Times New Roman" w:cs="Times New Roman"/>
                <w:b/>
                <w:bCs/>
                <w:lang w:eastAsia="it-IT"/>
              </w:rPr>
              <w:t>-5,6</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b/>
                <w:bCs/>
                <w:lang w:eastAsia="it-IT"/>
              </w:rPr>
            </w:pPr>
            <w:r w:rsidRPr="002279E2">
              <w:rPr>
                <w:rFonts w:eastAsia="Times New Roman" w:cs="Times New Roman"/>
                <w:b/>
                <w:bCs/>
                <w:lang w:eastAsia="it-IT"/>
              </w:rPr>
              <w:t>-3,4</w:t>
            </w:r>
          </w:p>
        </w:tc>
        <w:tc>
          <w:tcPr>
            <w:tcW w:w="315"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b/>
                <w:bCs/>
                <w:lang w:eastAsia="it-IT"/>
              </w:rPr>
            </w:pPr>
            <w:r w:rsidRPr="002279E2">
              <w:rPr>
                <w:rFonts w:eastAsia="Times New Roman" w:cs="Times New Roman"/>
                <w:b/>
                <w:bCs/>
                <w:lang w:eastAsia="it-IT"/>
              </w:rPr>
              <w:t>-5,0</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b/>
                <w:bCs/>
                <w:lang w:eastAsia="it-IT"/>
              </w:rPr>
            </w:pPr>
            <w:r w:rsidRPr="002279E2">
              <w:rPr>
                <w:rFonts w:eastAsia="Times New Roman" w:cs="Times New Roman"/>
                <w:b/>
                <w:bCs/>
                <w:lang w:eastAsia="it-IT"/>
              </w:rPr>
              <w:t>10,2</w:t>
            </w:r>
          </w:p>
        </w:tc>
        <w:tc>
          <w:tcPr>
            <w:tcW w:w="342"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b/>
                <w:bCs/>
                <w:lang w:eastAsia="it-IT"/>
              </w:rPr>
            </w:pPr>
            <w:r w:rsidRPr="002279E2">
              <w:rPr>
                <w:rFonts w:eastAsia="Times New Roman" w:cs="Times New Roman"/>
                <w:b/>
                <w:bCs/>
                <w:lang w:eastAsia="it-IT"/>
              </w:rPr>
              <w:t>5,7</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b/>
                <w:bCs/>
                <w:lang w:eastAsia="it-IT"/>
              </w:rPr>
            </w:pPr>
            <w:r w:rsidRPr="002279E2">
              <w:rPr>
                <w:rFonts w:eastAsia="Times New Roman" w:cs="Times New Roman"/>
                <w:b/>
                <w:bCs/>
                <w:lang w:eastAsia="it-IT"/>
              </w:rPr>
              <w:t>3,2</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b/>
                <w:bCs/>
                <w:lang w:eastAsia="it-IT"/>
              </w:rPr>
            </w:pPr>
            <w:r w:rsidRPr="002279E2">
              <w:rPr>
                <w:rFonts w:eastAsia="Times New Roman" w:cs="Times New Roman"/>
                <w:b/>
                <w:bCs/>
                <w:lang w:eastAsia="it-IT"/>
              </w:rPr>
              <w:t>0,6</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b/>
                <w:bCs/>
                <w:lang w:eastAsia="it-IT"/>
              </w:rPr>
            </w:pPr>
            <w:r w:rsidRPr="002279E2">
              <w:rPr>
                <w:rFonts w:eastAsia="Times New Roman" w:cs="Times New Roman"/>
                <w:b/>
                <w:bCs/>
                <w:lang w:eastAsia="it-IT"/>
              </w:rPr>
              <w:t>2,5</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b/>
                <w:bCs/>
                <w:lang w:eastAsia="it-IT"/>
              </w:rPr>
            </w:pPr>
            <w:r w:rsidRPr="002279E2">
              <w:rPr>
                <w:rFonts w:eastAsia="Times New Roman" w:cs="Times New Roman"/>
                <w:b/>
                <w:bCs/>
                <w:lang w:eastAsia="it-IT"/>
              </w:rPr>
              <w:t>2,5</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b/>
                <w:bCs/>
                <w:lang w:eastAsia="it-IT"/>
              </w:rPr>
            </w:pPr>
            <w:r w:rsidRPr="002279E2">
              <w:rPr>
                <w:rFonts w:eastAsia="Times New Roman" w:cs="Times New Roman"/>
                <w:b/>
                <w:bCs/>
                <w:lang w:eastAsia="it-IT"/>
              </w:rPr>
              <w:t>-1,9</w:t>
            </w:r>
          </w:p>
        </w:tc>
        <w:tc>
          <w:tcPr>
            <w:tcW w:w="328" w:type="pct"/>
            <w:tcBorders>
              <w:top w:val="nil"/>
              <w:left w:val="nil"/>
              <w:bottom w:val="single" w:sz="4" w:space="0" w:color="auto"/>
              <w:right w:val="single" w:sz="4" w:space="0" w:color="auto"/>
            </w:tcBorders>
            <w:shd w:val="clear" w:color="auto" w:fill="auto"/>
            <w:vAlign w:val="center"/>
            <w:hideMark/>
          </w:tcPr>
          <w:p w:rsidR="00FB126F" w:rsidRPr="002279E2" w:rsidRDefault="00FB126F" w:rsidP="00612935">
            <w:pPr>
              <w:jc w:val="center"/>
              <w:rPr>
                <w:rFonts w:eastAsia="Times New Roman" w:cs="Times New Roman"/>
                <w:b/>
                <w:bCs/>
                <w:lang w:eastAsia="it-IT"/>
              </w:rPr>
            </w:pPr>
            <w:r w:rsidRPr="002279E2">
              <w:rPr>
                <w:rFonts w:eastAsia="Times New Roman" w:cs="Times New Roman"/>
                <w:b/>
                <w:bCs/>
                <w:lang w:eastAsia="it-IT"/>
              </w:rPr>
              <w:t>0,0</w:t>
            </w:r>
          </w:p>
        </w:tc>
      </w:tr>
    </w:tbl>
    <w:p w:rsidR="00FB126F" w:rsidRPr="002279E2" w:rsidRDefault="00FB126F" w:rsidP="00612935">
      <w:pPr>
        <w:autoSpaceDE w:val="0"/>
        <w:autoSpaceDN w:val="0"/>
        <w:adjustRightInd w:val="0"/>
        <w:contextualSpacing/>
        <w:rPr>
          <w:rFonts w:cs="Times New Roman"/>
          <w:i/>
        </w:rPr>
      </w:pPr>
      <w:r w:rsidRPr="002279E2">
        <w:rPr>
          <w:rFonts w:cs="Times New Roman"/>
          <w:i/>
        </w:rPr>
        <w:t>In milioni di euro</w:t>
      </w:r>
    </w:p>
    <w:p w:rsidR="007E4FDC" w:rsidRPr="002279E2" w:rsidRDefault="007E4FDC" w:rsidP="00612935">
      <w:pPr>
        <w:pStyle w:val="Paragrafoelenco"/>
        <w:spacing w:after="0" w:line="240" w:lineRule="auto"/>
        <w:ind w:left="0"/>
        <w:rPr>
          <w:rFonts w:ascii="Times New Roman" w:hAnsi="Times New Roman"/>
          <w:lang w:val="it-IT"/>
        </w:rPr>
      </w:pPr>
    </w:p>
    <w:p w:rsidR="007E4FDC" w:rsidRPr="002279E2" w:rsidRDefault="007E4FDC" w:rsidP="005E06C3">
      <w:pPr>
        <w:pStyle w:val="Titolo2"/>
      </w:pPr>
      <w:bookmarkStart w:id="27" w:name="_Toc4423347"/>
      <w:bookmarkStart w:id="28" w:name="_Toc6937339"/>
      <w:r w:rsidRPr="002279E2">
        <w:t xml:space="preserve">Articolo </w:t>
      </w:r>
      <w:r w:rsidR="00D10BAD" w:rsidRPr="002279E2">
        <w:t>1</w:t>
      </w:r>
      <w:r w:rsidR="00B30DBD" w:rsidRPr="002279E2">
        <w:t>1</w:t>
      </w:r>
      <w:r w:rsidRPr="002279E2">
        <w:br/>
        <w:t>(Aggregazioni d’imprese)</w:t>
      </w:r>
      <w:bookmarkEnd w:id="27"/>
      <w:bookmarkEnd w:id="28"/>
    </w:p>
    <w:p w:rsidR="00FB126F" w:rsidRPr="002279E2" w:rsidRDefault="00FB126F" w:rsidP="00612935">
      <w:pPr>
        <w:rPr>
          <w:rFonts w:cs="Times New Roman"/>
        </w:rPr>
      </w:pPr>
      <w:r w:rsidRPr="002279E2">
        <w:rPr>
          <w:rFonts w:cs="Times New Roman"/>
        </w:rPr>
        <w:t>1. Per i soggetti indicati nell’articolo 73, comma 1, lettera a), del testo unico delle imposte sui redditi, di cui al decreto del Presidente della Repubblica 22 dicembre 1986, n. 917, che risultano da operazioni di aggregazione aziendale, realizzate attraverso fusione o scissione effettuate a decorrere dalla data di entrata in vigore del presente decreto fino al 31 dicembre 2022, si considera riconosciuto, ai fini fiscali, il valore di avviamento e quello attribuito ai beni strumentali materiali e immateriali, per effetto della imputazione su tali poste di bilancio del disavanzo da concambio, per un ammontare complessivo non eccedente l’importo di 5 milioni di euro.</w:t>
      </w:r>
    </w:p>
    <w:p w:rsidR="00FB126F" w:rsidRPr="002279E2" w:rsidRDefault="00FB126F" w:rsidP="00612935">
      <w:pPr>
        <w:rPr>
          <w:rFonts w:cs="Times New Roman"/>
        </w:rPr>
      </w:pPr>
      <w:r w:rsidRPr="002279E2">
        <w:rPr>
          <w:rFonts w:cs="Times New Roman"/>
        </w:rPr>
        <w:t>2. Nel caso di operazioni di conferimento di azienda effettuate ai sensi dell’articolo 176 del testo unico delle imposte sui redditi, di cui al decreto del Presidente della Repubblica 22 dicembre 1986, n. 917, a decorrere dalla data di entrata in vigore del presente decreto fino al 31 dicembre 2022, si considerano riconosciuti, ai fini fiscali, i maggiori valori iscritti dal soggetto conferitario di cui al comma 1 a titolo di avviamento o sui beni strumentali materiali e immateriali, per un ammontare complessivo non eccedente l’importo di 5 milioni di euro.</w:t>
      </w:r>
    </w:p>
    <w:p w:rsidR="00FB126F" w:rsidRPr="002279E2" w:rsidRDefault="00FB126F" w:rsidP="00612935">
      <w:pPr>
        <w:rPr>
          <w:rFonts w:cs="Times New Roman"/>
        </w:rPr>
      </w:pPr>
      <w:r w:rsidRPr="002279E2">
        <w:rPr>
          <w:rFonts w:cs="Times New Roman"/>
        </w:rPr>
        <w:t xml:space="preserve">3. Le disposizioni dei commi 1 e 2 si applicano qualora alle operazioni di aggregazione aziendale partecipino esclusivamente imprese operative da almeno due anni. Le medesime disposizioni non si applicano qualora le imprese che partecipano alle predette operazioni facciano parte dello stesso gruppo societario. Sono in ogni caso esclusi i soggetti legati tra loro da un rapporto di partecipazione superiore al 20 per cento ovvero controllati anche indirettamente dallo stesso soggetto ai sensi dell’articolo 2359, primo comma, n. 1), del codice civile. Il maggior valore attribuito ai beni ai sensi dei commi precedenti è riconosciuto ai fini delle imposte sui redditi e dell’imposta regionale sulle attività produttive a decorrere dall’esercizio successivo a quello in cui ha avuto luogo l’operazione di aggregazione aziendale. </w:t>
      </w:r>
    </w:p>
    <w:p w:rsidR="00FB126F" w:rsidRPr="002279E2" w:rsidRDefault="00FB126F" w:rsidP="00612935">
      <w:pPr>
        <w:rPr>
          <w:rFonts w:cs="Times New Roman"/>
        </w:rPr>
      </w:pPr>
      <w:r w:rsidRPr="002279E2">
        <w:rPr>
          <w:rFonts w:cs="Times New Roman"/>
        </w:rPr>
        <w:lastRenderedPageBreak/>
        <w:t xml:space="preserve">4. Le disposizioni dei commi 1, 2 e 3 si applicano qualora le imprese interessate dalle operazioni di aggregazione aziendale si trovino o si siano trovate ininterrottamente, nei due anni precedenti l’operazione, nelle condizioni che consentono il riconoscimento fiscale di cui ai commi 1 e 2. </w:t>
      </w:r>
    </w:p>
    <w:p w:rsidR="00FB126F" w:rsidRPr="002279E2" w:rsidRDefault="00FB126F" w:rsidP="00612935">
      <w:pPr>
        <w:rPr>
          <w:rFonts w:cs="Times New Roman"/>
        </w:rPr>
      </w:pPr>
      <w:r w:rsidRPr="002279E2">
        <w:rPr>
          <w:rFonts w:cs="Times New Roman"/>
        </w:rPr>
        <w:t xml:space="preserve">5. Per la liquidazione, l’accertamento, la riscossione, i rimborsi, le sanzioni e il contenzioso si applicano le disposizioni previste per le imposte sui redditi. </w:t>
      </w:r>
    </w:p>
    <w:p w:rsidR="00FB126F" w:rsidRPr="002279E2" w:rsidRDefault="00FB126F" w:rsidP="00612935">
      <w:pPr>
        <w:rPr>
          <w:rFonts w:cs="Times New Roman"/>
        </w:rPr>
      </w:pPr>
      <w:r w:rsidRPr="002279E2">
        <w:rPr>
          <w:rFonts w:cs="Times New Roman"/>
        </w:rPr>
        <w:t>6. La società risultante dall’aggregazione, che nei primi quattro periodi d’imposta dalla effettuazione dell’operazione pone in essere ulteriori operazioni straordinarie, di cui al titolo III, capi III e IV, del testo unico delle imposte sui redditi, di cui al decreto del Presidente della Repubblica 22 dicembre 1986, n. 917, ovvero cede i beni iscritti o rivalutati ai sensi dei commi da 1 a 5, decade dall’agevolazione, fatta salva l’attivazione della procedura di cui all’articolo 11, comma 2, della legge 27 luglio 2000, n. 212.</w:t>
      </w:r>
    </w:p>
    <w:p w:rsidR="00FB126F" w:rsidRPr="002279E2" w:rsidRDefault="00FB126F" w:rsidP="00612935">
      <w:pPr>
        <w:rPr>
          <w:rFonts w:cs="Times New Roman"/>
        </w:rPr>
      </w:pPr>
      <w:r w:rsidRPr="002279E2">
        <w:rPr>
          <w:rFonts w:cs="Times New Roman"/>
        </w:rPr>
        <w:t>7. Nella dichiarazione dei redditi del periodo d’imposta in cui si verifica la decadenza prevista al comma 6, la società è tenuta a liquidare e versare l’imposta sul reddito delle società e l’imposta regionale sulle attività produttive dovute sul maggior reddito, relativo anche ai periodi di imposta precedenti, determinato senza tenere conto dei maggiori valori riconosciuti fiscalmente ai sensi dei commi 1 e 2. Sulle maggiori imposte liquidate non sono dovute sanzioni e interessi.</w:t>
      </w:r>
    </w:p>
    <w:p w:rsidR="00FB126F" w:rsidRPr="002279E2" w:rsidRDefault="00FB126F" w:rsidP="00612935">
      <w:pPr>
        <w:rPr>
          <w:rFonts w:cs="Times New Roman"/>
        </w:rPr>
      </w:pPr>
    </w:p>
    <w:p w:rsidR="00FB126F" w:rsidRPr="002279E2" w:rsidRDefault="00FB126F" w:rsidP="00612935">
      <w:pPr>
        <w:jc w:val="center"/>
        <w:rPr>
          <w:rFonts w:cs="Times New Roman"/>
          <w:b/>
        </w:rPr>
      </w:pPr>
      <w:r w:rsidRPr="002279E2">
        <w:rPr>
          <w:rFonts w:cs="Times New Roman"/>
          <w:b/>
        </w:rPr>
        <w:t>Relazione illustrativa</w:t>
      </w:r>
    </w:p>
    <w:p w:rsidR="00FB126F" w:rsidRPr="002279E2" w:rsidRDefault="00FB126F" w:rsidP="00612935">
      <w:pPr>
        <w:rPr>
          <w:rFonts w:cs="Times New Roman"/>
        </w:rPr>
      </w:pPr>
      <w:r w:rsidRPr="002279E2">
        <w:rPr>
          <w:rFonts w:cs="Times New Roman"/>
        </w:rPr>
        <w:t xml:space="preserve">Al fine di incentivare la realizzazione di operazioni di aggregazione aziendale per consentire alle imprese di incrementare le loro dimensioni e affrontare in modo più agevole l’attuale periodo di recessione, risultando più competitive anche in un contesto di mercato più ampio di quello nazionale, l’articolo, nel riproporre il cd. </w:t>
      </w:r>
      <w:r w:rsidRPr="002279E2">
        <w:rPr>
          <w:rFonts w:cs="Times New Roman"/>
          <w:i/>
        </w:rPr>
        <w:t>bonus</w:t>
      </w:r>
      <w:r w:rsidRPr="002279E2">
        <w:rPr>
          <w:rFonts w:cs="Times New Roman"/>
        </w:rPr>
        <w:t xml:space="preserve"> aggregazione che fu introdotto con l’articolo 4 del decreto-legge 10 febbraio 2009, n. 5, convertito, con modificazioni, dalla legge 9 aprile 2009, n. 33, e, ancor prima, dai commi da 242 a 249 dell’articolo 1 della legge 27 dicembre 2006, n. 296, dispone, al ricorrere di particolari condizioni e limitatamente alle operazioni effettuate fino al 31 dicembre 2022, a partire dalla data di entrata in vigore del presente decreto, il riconoscimento fiscale gratuito del disavanzo da concambio che emerge da operazioni di fusione e di scissione nonché del maggior valore iscritto dalla società conferitaria in ipotesi di conferimento di azienda effettuato ai sensi dell’art. 176 del Tuir.</w:t>
      </w:r>
    </w:p>
    <w:p w:rsidR="00FB126F" w:rsidRPr="002279E2" w:rsidRDefault="00FB126F" w:rsidP="00612935">
      <w:pPr>
        <w:rPr>
          <w:rFonts w:cs="Times New Roman"/>
        </w:rPr>
      </w:pPr>
      <w:r w:rsidRPr="002279E2">
        <w:rPr>
          <w:rFonts w:cs="Times New Roman"/>
        </w:rPr>
        <w:t>In particolare, la norma, reintroducendo la deroga al principio di neutralità fiscale tipico delle operazioni straordinarie, dispone il riconoscimento fiscale gratuito del maggior valore att</w:t>
      </w:r>
      <w:r w:rsidR="0024187C">
        <w:rPr>
          <w:rFonts w:cs="Times New Roman"/>
        </w:rPr>
        <w:t xml:space="preserve">ribuito all’avviamento, nonché </w:t>
      </w:r>
      <w:r w:rsidRPr="002279E2">
        <w:rPr>
          <w:rFonts w:cs="Times New Roman"/>
        </w:rPr>
        <w:t>ai beni strumentali materiali ed immateriali per effetto dell’imputazione su tali poste di bilancio del disavanzo da concambio che emerge in sede di dette operazioni di aggregazione aziendale. Ciò si traduce nel diritto alla deduzione fiscale dei maggiori ammortamenti e ha effetto sulla quantificazione delle eventuali plusvalenze o minusvalenze realizzate successivamente al decorso del termine di quattro periodi d’imposta.</w:t>
      </w:r>
    </w:p>
    <w:p w:rsidR="00D97E3F" w:rsidRPr="002279E2" w:rsidRDefault="00D97E3F" w:rsidP="00612935">
      <w:pPr>
        <w:rPr>
          <w:rFonts w:cs="Times New Roman"/>
          <w:b/>
        </w:rPr>
      </w:pPr>
    </w:p>
    <w:p w:rsidR="00FB126F" w:rsidRPr="002279E2" w:rsidRDefault="00FB126F" w:rsidP="00612935">
      <w:pPr>
        <w:jc w:val="center"/>
        <w:rPr>
          <w:rFonts w:cs="Times New Roman"/>
          <w:b/>
        </w:rPr>
      </w:pPr>
      <w:r w:rsidRPr="002279E2">
        <w:rPr>
          <w:rFonts w:cs="Times New Roman"/>
          <w:b/>
        </w:rPr>
        <w:t>Relazione tecnica</w:t>
      </w:r>
    </w:p>
    <w:p w:rsidR="00FB126F" w:rsidRPr="002279E2" w:rsidRDefault="00FB126F" w:rsidP="00612935">
      <w:pPr>
        <w:rPr>
          <w:rFonts w:cs="Times New Roman"/>
        </w:rPr>
      </w:pPr>
      <w:r w:rsidRPr="002279E2">
        <w:rPr>
          <w:rFonts w:cs="Times New Roman"/>
        </w:rPr>
        <w:t>La disposizione prevede per i soggetti indicati nell’articolo 73, comma 1, lettera a), del TUIR, che risultano da operazioni di aggregazione aziendale, realizzate attraverso fusione o scissione effettuate negli anni 2019-2022, si considera riconosciuto, ai fini fiscali, il valore attribuito ai beni strumentali materiali e immateriali, per effetto della imputazione su tali poste di bilancio del disavanzo da concambio, per un ammontare complessivo non eccedente l’importo di 5 milioni di euro.</w:t>
      </w:r>
    </w:p>
    <w:p w:rsidR="00FB126F" w:rsidRPr="002279E2" w:rsidRDefault="00FB126F" w:rsidP="00612935">
      <w:pPr>
        <w:rPr>
          <w:rFonts w:cs="Times New Roman"/>
        </w:rPr>
      </w:pPr>
      <w:r w:rsidRPr="002279E2">
        <w:rPr>
          <w:rFonts w:cs="Times New Roman"/>
        </w:rPr>
        <w:t>Ai fini della stima, si è proceduto analizzando i dati delle dichiarazioni dei Redditi 2017, anno di imposta 2016, prendendo in considerazione i dati dei quadri:</w:t>
      </w:r>
    </w:p>
    <w:p w:rsidR="00FB126F" w:rsidRPr="002279E2" w:rsidRDefault="00FB126F" w:rsidP="00826FD7">
      <w:pPr>
        <w:pStyle w:val="Paragrafoelenco"/>
        <w:numPr>
          <w:ilvl w:val="0"/>
          <w:numId w:val="17"/>
        </w:numPr>
        <w:spacing w:after="0" w:line="240" w:lineRule="auto"/>
        <w:ind w:left="567"/>
        <w:rPr>
          <w:rFonts w:ascii="Times New Roman" w:hAnsi="Times New Roman"/>
          <w:lang w:val="it-IT"/>
        </w:rPr>
      </w:pPr>
      <w:r w:rsidRPr="002279E2">
        <w:rPr>
          <w:rFonts w:ascii="Times New Roman" w:hAnsi="Times New Roman"/>
          <w:lang w:val="it-IT"/>
        </w:rPr>
        <w:t>RV per analizzare il disavanzo da concambio per la quota imputata ai beni ammortizzabili;</w:t>
      </w:r>
    </w:p>
    <w:p w:rsidR="00FB126F" w:rsidRPr="002279E2" w:rsidRDefault="00FB126F" w:rsidP="00826FD7">
      <w:pPr>
        <w:pStyle w:val="Paragrafoelenco"/>
        <w:numPr>
          <w:ilvl w:val="0"/>
          <w:numId w:val="17"/>
        </w:numPr>
        <w:spacing w:after="0" w:line="240" w:lineRule="auto"/>
        <w:ind w:left="567"/>
        <w:rPr>
          <w:rFonts w:ascii="Times New Roman" w:hAnsi="Times New Roman"/>
          <w:lang w:val="it-IT"/>
        </w:rPr>
      </w:pPr>
      <w:r w:rsidRPr="002279E2">
        <w:rPr>
          <w:rFonts w:ascii="Times New Roman" w:hAnsi="Times New Roman"/>
          <w:lang w:val="it-IT"/>
        </w:rPr>
        <w:t>RQ, per individuare l’imposta sostitutiva pagata sui maggiori valori conseguenti al disavanzo di cui sopra (art. 1, c. 47 della L. n. 244/2007 e art. 176 del Tuir).</w:t>
      </w:r>
    </w:p>
    <w:p w:rsidR="00FB126F" w:rsidRPr="002279E2" w:rsidRDefault="00FB126F" w:rsidP="00612935">
      <w:pPr>
        <w:rPr>
          <w:rFonts w:cs="Times New Roman"/>
        </w:rPr>
      </w:pPr>
      <w:r w:rsidRPr="002279E2">
        <w:rPr>
          <w:rFonts w:cs="Times New Roman"/>
        </w:rPr>
        <w:t>Dai dati disponibili è risultato un disavanzo da concambio depurato della parte già affrancata di circa 154 milioni di euro e maggiori valori per circa 88,2 milioni di euro assoggettati ad una imposta sostitutiva per circa 12,2 milioni di euro.</w:t>
      </w:r>
    </w:p>
    <w:p w:rsidR="00FB126F" w:rsidRPr="002279E2" w:rsidRDefault="00FB126F" w:rsidP="00612935">
      <w:pPr>
        <w:rPr>
          <w:rFonts w:cs="Times New Roman"/>
        </w:rPr>
      </w:pPr>
      <w:r w:rsidRPr="002279E2">
        <w:rPr>
          <w:rFonts w:cs="Times New Roman"/>
        </w:rPr>
        <w:t xml:space="preserve">Considerando la proposta normativa per il riconoscimento fiscale gratuito del disavanzo da concambio, con l’ipotesi di esenzione fino a 5 milioni di euro, sono stati ricostruiti i maggiori valori oltre tale soglia individuando di conseguenza da un lato minore imposta sostitutiva e dall’altro maggiori valori che si traducono in deduzioni fiscali per maggiori ammortamenti validi ai fini delle imposte sui redditi e dell’imposta regionale sulle attività produttive. L’imposta sostitutiva è risultata inferiore di circa 5,5 milioni di euro. Il disavanzo imputato a beni ammortizzabili riconosciuto fiscalmente come conseguenza della proposta normativa è risultato di circa 94,9 milioni di euro. </w:t>
      </w:r>
    </w:p>
    <w:p w:rsidR="00FB126F" w:rsidRPr="002279E2" w:rsidRDefault="00FB126F" w:rsidP="00612935">
      <w:pPr>
        <w:rPr>
          <w:rFonts w:cs="Times New Roman"/>
        </w:rPr>
      </w:pPr>
      <w:r w:rsidRPr="002279E2">
        <w:rPr>
          <w:rFonts w:cs="Times New Roman"/>
        </w:rPr>
        <w:lastRenderedPageBreak/>
        <w:t>Ipotizzando un piano di ammortamento di 5 anni, una aliquota IRES del 24% ed Irap del 4%, gli effetti di competenza sono i seguenti:</w:t>
      </w:r>
    </w:p>
    <w:tbl>
      <w:tblPr>
        <w:tblW w:w="9872" w:type="dxa"/>
        <w:jc w:val="center"/>
        <w:tblCellMar>
          <w:left w:w="70" w:type="dxa"/>
          <w:right w:w="70" w:type="dxa"/>
        </w:tblCellMar>
        <w:tblLook w:val="04A0" w:firstRow="1" w:lastRow="0" w:firstColumn="1" w:lastColumn="0" w:noHBand="0" w:noVBand="1"/>
      </w:tblPr>
      <w:tblGrid>
        <w:gridCol w:w="1714"/>
        <w:gridCol w:w="816"/>
        <w:gridCol w:w="816"/>
        <w:gridCol w:w="914"/>
        <w:gridCol w:w="914"/>
        <w:gridCol w:w="783"/>
        <w:gridCol w:w="783"/>
        <w:gridCol w:w="783"/>
        <w:gridCol w:w="783"/>
        <w:gridCol w:w="783"/>
        <w:gridCol w:w="783"/>
      </w:tblGrid>
      <w:tr w:rsidR="00FB126F" w:rsidRPr="002279E2" w:rsidTr="002A0D74">
        <w:trPr>
          <w:trHeight w:val="253"/>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26F" w:rsidRPr="002279E2" w:rsidRDefault="00FB126F" w:rsidP="00612935">
            <w:pPr>
              <w:rPr>
                <w:rFonts w:eastAsia="Times New Roman" w:cs="Times New Roman"/>
                <w:b/>
                <w:color w:val="000000"/>
                <w:lang w:eastAsia="it-IT"/>
              </w:rPr>
            </w:pPr>
            <w:r w:rsidRPr="002279E2">
              <w:rPr>
                <w:rFonts w:eastAsia="Times New Roman" w:cs="Times New Roman"/>
                <w:b/>
                <w:color w:val="000000"/>
                <w:lang w:eastAsia="it-IT"/>
              </w:rPr>
              <w:t>Competenza</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center"/>
              <w:rPr>
                <w:rFonts w:eastAsia="Times New Roman" w:cs="Times New Roman"/>
                <w:b/>
                <w:color w:val="000000"/>
                <w:lang w:eastAsia="it-IT"/>
              </w:rPr>
            </w:pPr>
            <w:r w:rsidRPr="002279E2">
              <w:rPr>
                <w:rFonts w:eastAsia="Times New Roman" w:cs="Times New Roman"/>
                <w:b/>
                <w:color w:val="000000"/>
                <w:lang w:eastAsia="it-IT"/>
              </w:rPr>
              <w:t>2019</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center"/>
              <w:rPr>
                <w:rFonts w:eastAsia="Times New Roman" w:cs="Times New Roman"/>
                <w:b/>
                <w:color w:val="000000"/>
                <w:lang w:eastAsia="it-IT"/>
              </w:rPr>
            </w:pPr>
            <w:r w:rsidRPr="002279E2">
              <w:rPr>
                <w:rFonts w:eastAsia="Times New Roman" w:cs="Times New Roman"/>
                <w:b/>
                <w:color w:val="000000"/>
                <w:lang w:eastAsia="it-IT"/>
              </w:rPr>
              <w:t>2020</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center"/>
              <w:rPr>
                <w:rFonts w:eastAsia="Times New Roman" w:cs="Times New Roman"/>
                <w:b/>
                <w:color w:val="000000"/>
                <w:lang w:eastAsia="it-IT"/>
              </w:rPr>
            </w:pPr>
            <w:r w:rsidRPr="002279E2">
              <w:rPr>
                <w:rFonts w:eastAsia="Times New Roman" w:cs="Times New Roman"/>
                <w:b/>
                <w:color w:val="000000"/>
                <w:lang w:eastAsia="it-IT"/>
              </w:rPr>
              <w:t>2021</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center"/>
              <w:rPr>
                <w:rFonts w:eastAsia="Times New Roman" w:cs="Times New Roman"/>
                <w:b/>
                <w:color w:val="000000"/>
                <w:lang w:eastAsia="it-IT"/>
              </w:rPr>
            </w:pPr>
            <w:r w:rsidRPr="002279E2">
              <w:rPr>
                <w:rFonts w:eastAsia="Times New Roman" w:cs="Times New Roman"/>
                <w:b/>
                <w:color w:val="000000"/>
                <w:lang w:eastAsia="it-IT"/>
              </w:rPr>
              <w:t>2022</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center"/>
              <w:rPr>
                <w:rFonts w:eastAsia="Times New Roman" w:cs="Times New Roman"/>
                <w:b/>
                <w:color w:val="000000"/>
                <w:lang w:eastAsia="it-IT"/>
              </w:rPr>
            </w:pPr>
            <w:r w:rsidRPr="002279E2">
              <w:rPr>
                <w:rFonts w:eastAsia="Times New Roman" w:cs="Times New Roman"/>
                <w:b/>
                <w:color w:val="000000"/>
                <w:lang w:eastAsia="it-IT"/>
              </w:rPr>
              <w:t>2023</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center"/>
              <w:rPr>
                <w:rFonts w:eastAsia="Times New Roman" w:cs="Times New Roman"/>
                <w:b/>
                <w:color w:val="000000"/>
                <w:lang w:eastAsia="it-IT"/>
              </w:rPr>
            </w:pPr>
            <w:r w:rsidRPr="002279E2">
              <w:rPr>
                <w:rFonts w:eastAsia="Times New Roman" w:cs="Times New Roman"/>
                <w:b/>
                <w:color w:val="000000"/>
                <w:lang w:eastAsia="it-IT"/>
              </w:rPr>
              <w:t>2024</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center"/>
              <w:rPr>
                <w:rFonts w:eastAsia="Times New Roman" w:cs="Times New Roman"/>
                <w:b/>
                <w:color w:val="000000"/>
                <w:lang w:eastAsia="it-IT"/>
              </w:rPr>
            </w:pPr>
            <w:r w:rsidRPr="002279E2">
              <w:rPr>
                <w:rFonts w:eastAsia="Times New Roman" w:cs="Times New Roman"/>
                <w:b/>
                <w:color w:val="000000"/>
                <w:lang w:eastAsia="it-IT"/>
              </w:rPr>
              <w:t>2025</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center"/>
              <w:rPr>
                <w:rFonts w:eastAsia="Times New Roman" w:cs="Times New Roman"/>
                <w:b/>
                <w:color w:val="000000"/>
                <w:lang w:eastAsia="it-IT"/>
              </w:rPr>
            </w:pPr>
            <w:r w:rsidRPr="002279E2">
              <w:rPr>
                <w:rFonts w:eastAsia="Times New Roman" w:cs="Times New Roman"/>
                <w:b/>
                <w:color w:val="000000"/>
                <w:lang w:eastAsia="it-IT"/>
              </w:rPr>
              <w:t>2026</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center"/>
              <w:rPr>
                <w:rFonts w:eastAsia="Times New Roman" w:cs="Times New Roman"/>
                <w:b/>
                <w:color w:val="000000"/>
                <w:lang w:eastAsia="it-IT"/>
              </w:rPr>
            </w:pPr>
            <w:r w:rsidRPr="002279E2">
              <w:rPr>
                <w:rFonts w:eastAsia="Times New Roman" w:cs="Times New Roman"/>
                <w:b/>
                <w:color w:val="000000"/>
                <w:lang w:eastAsia="it-IT"/>
              </w:rPr>
              <w:t>2027</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center"/>
              <w:rPr>
                <w:rFonts w:eastAsia="Times New Roman" w:cs="Times New Roman"/>
                <w:b/>
                <w:color w:val="000000"/>
                <w:lang w:eastAsia="it-IT"/>
              </w:rPr>
            </w:pPr>
            <w:r w:rsidRPr="002279E2">
              <w:rPr>
                <w:rFonts w:eastAsia="Times New Roman" w:cs="Times New Roman"/>
                <w:b/>
                <w:color w:val="000000"/>
                <w:lang w:eastAsia="it-IT"/>
              </w:rPr>
              <w:t>2028</w:t>
            </w:r>
          </w:p>
        </w:tc>
      </w:tr>
      <w:tr w:rsidR="00FB126F" w:rsidRPr="002279E2" w:rsidTr="002A0D74">
        <w:trPr>
          <w:trHeight w:val="253"/>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rsidR="00FB126F" w:rsidRPr="002279E2" w:rsidRDefault="00FB126F" w:rsidP="00612935">
            <w:pPr>
              <w:rPr>
                <w:rFonts w:eastAsia="Times New Roman" w:cs="Times New Roman"/>
                <w:color w:val="000000"/>
                <w:lang w:eastAsia="it-IT"/>
              </w:rPr>
            </w:pPr>
            <w:r w:rsidRPr="002279E2">
              <w:rPr>
                <w:rFonts w:eastAsia="Times New Roman" w:cs="Times New Roman"/>
                <w:color w:val="000000"/>
                <w:lang w:eastAsia="it-IT"/>
              </w:rPr>
              <w:t>Imposta sostitutiva</w:t>
            </w:r>
          </w:p>
        </w:tc>
        <w:tc>
          <w:tcPr>
            <w:tcW w:w="816"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-5,5</w:t>
            </w:r>
          </w:p>
        </w:tc>
        <w:tc>
          <w:tcPr>
            <w:tcW w:w="816"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-5,5</w:t>
            </w:r>
          </w:p>
        </w:tc>
        <w:tc>
          <w:tcPr>
            <w:tcW w:w="914"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-5,5</w:t>
            </w:r>
          </w:p>
        </w:tc>
        <w:tc>
          <w:tcPr>
            <w:tcW w:w="914"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-5,5</w:t>
            </w:r>
          </w:p>
        </w:tc>
        <w:tc>
          <w:tcPr>
            <w:tcW w:w="783"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0</w:t>
            </w:r>
          </w:p>
        </w:tc>
        <w:tc>
          <w:tcPr>
            <w:tcW w:w="783"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0</w:t>
            </w:r>
          </w:p>
        </w:tc>
        <w:tc>
          <w:tcPr>
            <w:tcW w:w="783"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0</w:t>
            </w:r>
          </w:p>
        </w:tc>
        <w:tc>
          <w:tcPr>
            <w:tcW w:w="783"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0</w:t>
            </w:r>
          </w:p>
        </w:tc>
        <w:tc>
          <w:tcPr>
            <w:tcW w:w="783"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0</w:t>
            </w:r>
          </w:p>
        </w:tc>
        <w:tc>
          <w:tcPr>
            <w:tcW w:w="783"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0</w:t>
            </w:r>
          </w:p>
        </w:tc>
      </w:tr>
      <w:tr w:rsidR="00FB126F" w:rsidRPr="002279E2" w:rsidTr="002A0D74">
        <w:trPr>
          <w:trHeight w:val="253"/>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26F" w:rsidRPr="002279E2" w:rsidRDefault="00FB126F" w:rsidP="00612935">
            <w:pPr>
              <w:rPr>
                <w:rFonts w:eastAsia="Times New Roman" w:cs="Times New Roman"/>
                <w:color w:val="000000"/>
                <w:lang w:eastAsia="it-IT"/>
              </w:rPr>
            </w:pPr>
            <w:r w:rsidRPr="002279E2">
              <w:rPr>
                <w:rFonts w:eastAsia="Times New Roman" w:cs="Times New Roman"/>
                <w:color w:val="000000"/>
                <w:lang w:eastAsia="it-IT"/>
              </w:rPr>
              <w:t>IRES</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-4,6</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-9,1</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-13,7</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-18,2</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-22,8</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-18,2</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-13,7</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-9,1</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-4,6</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0</w:t>
            </w:r>
          </w:p>
        </w:tc>
      </w:tr>
      <w:tr w:rsidR="00FB126F" w:rsidRPr="002279E2" w:rsidTr="002A0D74">
        <w:trPr>
          <w:trHeight w:val="253"/>
          <w:jc w:val="center"/>
        </w:trPr>
        <w:tc>
          <w:tcPr>
            <w:tcW w:w="1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26F" w:rsidRPr="002279E2" w:rsidRDefault="00FB126F" w:rsidP="00612935">
            <w:pPr>
              <w:rPr>
                <w:rFonts w:eastAsia="Times New Roman" w:cs="Times New Roman"/>
                <w:color w:val="000000"/>
                <w:lang w:eastAsia="it-IT"/>
              </w:rPr>
            </w:pPr>
            <w:r w:rsidRPr="002279E2">
              <w:rPr>
                <w:rFonts w:eastAsia="Times New Roman" w:cs="Times New Roman"/>
                <w:color w:val="000000"/>
                <w:lang w:eastAsia="it-IT"/>
              </w:rPr>
              <w:t>IRAP</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-0,8</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-1,5</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-2,3</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-3,0</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-3,8</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-3,0</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-2,3</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-1,5</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-0,8</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lang w:eastAsia="it-IT"/>
              </w:rPr>
            </w:pPr>
            <w:r w:rsidRPr="002279E2">
              <w:rPr>
                <w:rFonts w:eastAsia="Times New Roman" w:cs="Times New Roman"/>
                <w:color w:val="000000"/>
                <w:lang w:eastAsia="it-IT"/>
              </w:rPr>
              <w:t>0</w:t>
            </w:r>
          </w:p>
        </w:tc>
      </w:tr>
      <w:tr w:rsidR="00FB126F" w:rsidRPr="002279E2" w:rsidTr="002A0D74">
        <w:trPr>
          <w:trHeight w:val="253"/>
          <w:jc w:val="center"/>
        </w:trPr>
        <w:tc>
          <w:tcPr>
            <w:tcW w:w="1714" w:type="dxa"/>
            <w:tcBorders>
              <w:top w:val="nil"/>
              <w:left w:val="single" w:sz="4" w:space="0" w:color="auto"/>
              <w:bottom w:val="nil"/>
              <w:right w:val="single" w:sz="4" w:space="0" w:color="auto"/>
            </w:tcBorders>
            <w:shd w:val="clear" w:color="auto" w:fill="auto"/>
            <w:noWrap/>
            <w:vAlign w:val="bottom"/>
            <w:hideMark/>
          </w:tcPr>
          <w:p w:rsidR="00FB126F" w:rsidRPr="002279E2" w:rsidRDefault="00FB126F" w:rsidP="00612935">
            <w:pPr>
              <w:rPr>
                <w:rFonts w:eastAsia="Times New Roman" w:cs="Times New Roman"/>
                <w:b/>
                <w:color w:val="000000"/>
                <w:lang w:eastAsia="it-IT"/>
              </w:rPr>
            </w:pPr>
            <w:r w:rsidRPr="002279E2">
              <w:rPr>
                <w:rFonts w:eastAsia="Times New Roman" w:cs="Times New Roman"/>
                <w:b/>
                <w:color w:val="000000"/>
                <w:lang w:eastAsia="it-IT"/>
              </w:rPr>
              <w:t>Totale</w:t>
            </w:r>
          </w:p>
        </w:tc>
        <w:tc>
          <w:tcPr>
            <w:tcW w:w="816"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b/>
                <w:color w:val="000000"/>
                <w:lang w:eastAsia="it-IT"/>
              </w:rPr>
            </w:pPr>
            <w:r w:rsidRPr="002279E2">
              <w:rPr>
                <w:rFonts w:eastAsia="Times New Roman" w:cs="Times New Roman"/>
                <w:b/>
                <w:color w:val="000000"/>
                <w:lang w:eastAsia="it-IT"/>
              </w:rPr>
              <w:t>-10,8</w:t>
            </w:r>
          </w:p>
        </w:tc>
        <w:tc>
          <w:tcPr>
            <w:tcW w:w="816"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b/>
                <w:color w:val="000000"/>
                <w:lang w:eastAsia="it-IT"/>
              </w:rPr>
            </w:pPr>
            <w:r w:rsidRPr="002279E2">
              <w:rPr>
                <w:rFonts w:eastAsia="Times New Roman" w:cs="Times New Roman"/>
                <w:b/>
                <w:color w:val="000000"/>
                <w:lang w:eastAsia="it-IT"/>
              </w:rPr>
              <w:t>-16,1</w:t>
            </w:r>
          </w:p>
        </w:tc>
        <w:tc>
          <w:tcPr>
            <w:tcW w:w="914"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b/>
                <w:color w:val="000000"/>
                <w:lang w:eastAsia="it-IT"/>
              </w:rPr>
            </w:pPr>
            <w:r w:rsidRPr="002279E2">
              <w:rPr>
                <w:rFonts w:eastAsia="Times New Roman" w:cs="Times New Roman"/>
                <w:b/>
                <w:color w:val="000000"/>
                <w:lang w:eastAsia="it-IT"/>
              </w:rPr>
              <w:t>-21,4</w:t>
            </w:r>
          </w:p>
        </w:tc>
        <w:tc>
          <w:tcPr>
            <w:tcW w:w="914"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b/>
                <w:color w:val="000000"/>
                <w:lang w:eastAsia="it-IT"/>
              </w:rPr>
            </w:pPr>
            <w:r w:rsidRPr="002279E2">
              <w:rPr>
                <w:rFonts w:eastAsia="Times New Roman" w:cs="Times New Roman"/>
                <w:b/>
                <w:color w:val="000000"/>
                <w:lang w:eastAsia="it-IT"/>
              </w:rPr>
              <w:t>-26,7</w:t>
            </w:r>
          </w:p>
        </w:tc>
        <w:tc>
          <w:tcPr>
            <w:tcW w:w="783"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b/>
                <w:color w:val="000000"/>
                <w:lang w:eastAsia="it-IT"/>
              </w:rPr>
            </w:pPr>
            <w:r w:rsidRPr="002279E2">
              <w:rPr>
                <w:rFonts w:eastAsia="Times New Roman" w:cs="Times New Roman"/>
                <w:b/>
                <w:color w:val="000000"/>
                <w:lang w:eastAsia="it-IT"/>
              </w:rPr>
              <w:t>-26,6</w:t>
            </w:r>
          </w:p>
        </w:tc>
        <w:tc>
          <w:tcPr>
            <w:tcW w:w="783"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b/>
                <w:color w:val="000000"/>
                <w:lang w:eastAsia="it-IT"/>
              </w:rPr>
            </w:pPr>
            <w:r w:rsidRPr="002279E2">
              <w:rPr>
                <w:rFonts w:eastAsia="Times New Roman" w:cs="Times New Roman"/>
                <w:b/>
                <w:color w:val="000000"/>
                <w:lang w:eastAsia="it-IT"/>
              </w:rPr>
              <w:t>-21,3</w:t>
            </w:r>
          </w:p>
        </w:tc>
        <w:tc>
          <w:tcPr>
            <w:tcW w:w="783"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b/>
                <w:color w:val="000000"/>
                <w:lang w:eastAsia="it-IT"/>
              </w:rPr>
            </w:pPr>
            <w:r w:rsidRPr="002279E2">
              <w:rPr>
                <w:rFonts w:eastAsia="Times New Roman" w:cs="Times New Roman"/>
                <w:b/>
                <w:color w:val="000000"/>
                <w:lang w:eastAsia="it-IT"/>
              </w:rPr>
              <w:t>-15,9</w:t>
            </w:r>
          </w:p>
        </w:tc>
        <w:tc>
          <w:tcPr>
            <w:tcW w:w="783"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b/>
                <w:color w:val="000000"/>
                <w:lang w:eastAsia="it-IT"/>
              </w:rPr>
            </w:pPr>
            <w:r w:rsidRPr="002279E2">
              <w:rPr>
                <w:rFonts w:eastAsia="Times New Roman" w:cs="Times New Roman"/>
                <w:b/>
                <w:color w:val="000000"/>
                <w:lang w:eastAsia="it-IT"/>
              </w:rPr>
              <w:t>-10,6</w:t>
            </w:r>
          </w:p>
        </w:tc>
        <w:tc>
          <w:tcPr>
            <w:tcW w:w="783"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b/>
                <w:color w:val="000000"/>
                <w:lang w:eastAsia="it-IT"/>
              </w:rPr>
            </w:pPr>
            <w:r w:rsidRPr="002279E2">
              <w:rPr>
                <w:rFonts w:eastAsia="Times New Roman" w:cs="Times New Roman"/>
                <w:b/>
                <w:color w:val="000000"/>
                <w:lang w:eastAsia="it-IT"/>
              </w:rPr>
              <w:t>-5,3</w:t>
            </w:r>
          </w:p>
        </w:tc>
        <w:tc>
          <w:tcPr>
            <w:tcW w:w="783"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b/>
                <w:color w:val="000000"/>
                <w:lang w:eastAsia="it-IT"/>
              </w:rPr>
            </w:pPr>
            <w:r w:rsidRPr="002279E2">
              <w:rPr>
                <w:rFonts w:eastAsia="Times New Roman" w:cs="Times New Roman"/>
                <w:b/>
                <w:color w:val="000000"/>
                <w:lang w:eastAsia="it-IT"/>
              </w:rPr>
              <w:t>0</w:t>
            </w:r>
          </w:p>
        </w:tc>
      </w:tr>
      <w:tr w:rsidR="00FB126F" w:rsidRPr="002279E2" w:rsidTr="002A0D74">
        <w:trPr>
          <w:trHeight w:val="253"/>
          <w:jc w:val="center"/>
        </w:trPr>
        <w:tc>
          <w:tcPr>
            <w:tcW w:w="1714" w:type="dxa"/>
            <w:tcBorders>
              <w:top w:val="single" w:sz="4" w:space="0" w:color="auto"/>
              <w:left w:val="nil"/>
              <w:bottom w:val="nil"/>
              <w:right w:val="nil"/>
            </w:tcBorders>
            <w:shd w:val="clear" w:color="auto" w:fill="auto"/>
            <w:noWrap/>
            <w:vAlign w:val="bottom"/>
            <w:hideMark/>
          </w:tcPr>
          <w:p w:rsidR="00FB126F" w:rsidRPr="002279E2" w:rsidRDefault="00FB126F" w:rsidP="00612935">
            <w:pPr>
              <w:rPr>
                <w:rFonts w:eastAsia="Times New Roman" w:cs="Times New Roman"/>
                <w:color w:val="000000"/>
                <w:lang w:eastAsia="it-IT"/>
              </w:rPr>
            </w:pPr>
            <w:r w:rsidRPr="002279E2">
              <w:rPr>
                <w:rFonts w:eastAsia="Times New Roman" w:cs="Times New Roman"/>
                <w:color w:val="000000"/>
                <w:lang w:eastAsia="it-IT"/>
              </w:rPr>
              <w:t>Milioni di euro</w:t>
            </w:r>
          </w:p>
        </w:tc>
        <w:tc>
          <w:tcPr>
            <w:tcW w:w="816" w:type="dxa"/>
            <w:tcBorders>
              <w:top w:val="nil"/>
              <w:left w:val="nil"/>
              <w:bottom w:val="nil"/>
              <w:right w:val="nil"/>
            </w:tcBorders>
            <w:shd w:val="clear" w:color="auto" w:fill="auto"/>
            <w:noWrap/>
            <w:vAlign w:val="bottom"/>
            <w:hideMark/>
          </w:tcPr>
          <w:p w:rsidR="00FB126F" w:rsidRPr="002279E2" w:rsidRDefault="00FB126F" w:rsidP="00612935">
            <w:pPr>
              <w:rPr>
                <w:rFonts w:eastAsia="Times New Roman" w:cs="Times New Roman"/>
                <w:color w:val="000000"/>
                <w:lang w:eastAsia="it-IT"/>
              </w:rPr>
            </w:pPr>
          </w:p>
        </w:tc>
        <w:tc>
          <w:tcPr>
            <w:tcW w:w="816" w:type="dxa"/>
            <w:tcBorders>
              <w:top w:val="nil"/>
              <w:left w:val="nil"/>
              <w:bottom w:val="nil"/>
              <w:right w:val="nil"/>
            </w:tcBorders>
            <w:shd w:val="clear" w:color="auto" w:fill="auto"/>
            <w:noWrap/>
            <w:vAlign w:val="bottom"/>
            <w:hideMark/>
          </w:tcPr>
          <w:p w:rsidR="00FB126F" w:rsidRPr="002279E2" w:rsidRDefault="00FB126F" w:rsidP="00612935">
            <w:pPr>
              <w:rPr>
                <w:rFonts w:eastAsia="Times New Roman" w:cs="Times New Roman"/>
                <w:lang w:eastAsia="it-IT"/>
              </w:rPr>
            </w:pPr>
          </w:p>
        </w:tc>
        <w:tc>
          <w:tcPr>
            <w:tcW w:w="914" w:type="dxa"/>
            <w:tcBorders>
              <w:top w:val="nil"/>
              <w:left w:val="nil"/>
              <w:bottom w:val="nil"/>
              <w:right w:val="nil"/>
            </w:tcBorders>
            <w:shd w:val="clear" w:color="auto" w:fill="auto"/>
            <w:noWrap/>
            <w:vAlign w:val="bottom"/>
            <w:hideMark/>
          </w:tcPr>
          <w:p w:rsidR="00FB126F" w:rsidRPr="002279E2" w:rsidRDefault="00FB126F" w:rsidP="00612935">
            <w:pPr>
              <w:rPr>
                <w:rFonts w:eastAsia="Times New Roman" w:cs="Times New Roman"/>
                <w:lang w:eastAsia="it-IT"/>
              </w:rPr>
            </w:pPr>
          </w:p>
        </w:tc>
        <w:tc>
          <w:tcPr>
            <w:tcW w:w="914" w:type="dxa"/>
            <w:tcBorders>
              <w:top w:val="nil"/>
              <w:left w:val="nil"/>
              <w:bottom w:val="nil"/>
              <w:right w:val="nil"/>
            </w:tcBorders>
            <w:shd w:val="clear" w:color="auto" w:fill="auto"/>
            <w:noWrap/>
            <w:vAlign w:val="bottom"/>
            <w:hideMark/>
          </w:tcPr>
          <w:p w:rsidR="00FB126F" w:rsidRPr="002279E2" w:rsidRDefault="00FB126F" w:rsidP="00612935">
            <w:pPr>
              <w:rPr>
                <w:rFonts w:eastAsia="Times New Roman" w:cs="Times New Roman"/>
                <w:lang w:eastAsia="it-IT"/>
              </w:rPr>
            </w:pPr>
          </w:p>
        </w:tc>
        <w:tc>
          <w:tcPr>
            <w:tcW w:w="783" w:type="dxa"/>
            <w:tcBorders>
              <w:top w:val="nil"/>
              <w:left w:val="nil"/>
              <w:bottom w:val="nil"/>
              <w:right w:val="nil"/>
            </w:tcBorders>
            <w:shd w:val="clear" w:color="auto" w:fill="auto"/>
            <w:noWrap/>
            <w:vAlign w:val="bottom"/>
            <w:hideMark/>
          </w:tcPr>
          <w:p w:rsidR="00FB126F" w:rsidRPr="002279E2" w:rsidRDefault="00FB126F" w:rsidP="00612935">
            <w:pPr>
              <w:rPr>
                <w:rFonts w:eastAsia="Times New Roman" w:cs="Times New Roman"/>
                <w:lang w:eastAsia="it-IT"/>
              </w:rPr>
            </w:pPr>
          </w:p>
        </w:tc>
        <w:tc>
          <w:tcPr>
            <w:tcW w:w="783" w:type="dxa"/>
            <w:tcBorders>
              <w:top w:val="nil"/>
              <w:left w:val="nil"/>
              <w:bottom w:val="nil"/>
              <w:right w:val="nil"/>
            </w:tcBorders>
            <w:shd w:val="clear" w:color="auto" w:fill="auto"/>
            <w:noWrap/>
            <w:vAlign w:val="bottom"/>
            <w:hideMark/>
          </w:tcPr>
          <w:p w:rsidR="00FB126F" w:rsidRPr="002279E2" w:rsidRDefault="00FB126F" w:rsidP="00612935">
            <w:pPr>
              <w:rPr>
                <w:rFonts w:eastAsia="Times New Roman" w:cs="Times New Roman"/>
                <w:lang w:eastAsia="it-IT"/>
              </w:rPr>
            </w:pPr>
          </w:p>
        </w:tc>
        <w:tc>
          <w:tcPr>
            <w:tcW w:w="783" w:type="dxa"/>
            <w:tcBorders>
              <w:top w:val="nil"/>
              <w:left w:val="nil"/>
              <w:bottom w:val="nil"/>
              <w:right w:val="nil"/>
            </w:tcBorders>
            <w:shd w:val="clear" w:color="auto" w:fill="auto"/>
            <w:noWrap/>
            <w:vAlign w:val="bottom"/>
            <w:hideMark/>
          </w:tcPr>
          <w:p w:rsidR="00FB126F" w:rsidRPr="002279E2" w:rsidRDefault="00FB126F" w:rsidP="00612935">
            <w:pPr>
              <w:rPr>
                <w:rFonts w:eastAsia="Times New Roman" w:cs="Times New Roman"/>
                <w:lang w:eastAsia="it-IT"/>
              </w:rPr>
            </w:pPr>
          </w:p>
        </w:tc>
        <w:tc>
          <w:tcPr>
            <w:tcW w:w="783" w:type="dxa"/>
            <w:tcBorders>
              <w:top w:val="nil"/>
              <w:left w:val="nil"/>
              <w:bottom w:val="nil"/>
              <w:right w:val="nil"/>
            </w:tcBorders>
            <w:shd w:val="clear" w:color="auto" w:fill="auto"/>
            <w:noWrap/>
            <w:vAlign w:val="bottom"/>
            <w:hideMark/>
          </w:tcPr>
          <w:p w:rsidR="00FB126F" w:rsidRPr="002279E2" w:rsidRDefault="00FB126F" w:rsidP="00612935">
            <w:pPr>
              <w:rPr>
                <w:rFonts w:eastAsia="Times New Roman" w:cs="Times New Roman"/>
                <w:lang w:eastAsia="it-IT"/>
              </w:rPr>
            </w:pPr>
          </w:p>
        </w:tc>
        <w:tc>
          <w:tcPr>
            <w:tcW w:w="783" w:type="dxa"/>
            <w:tcBorders>
              <w:top w:val="nil"/>
              <w:left w:val="nil"/>
              <w:bottom w:val="nil"/>
              <w:right w:val="nil"/>
            </w:tcBorders>
            <w:shd w:val="clear" w:color="auto" w:fill="auto"/>
            <w:noWrap/>
            <w:vAlign w:val="bottom"/>
            <w:hideMark/>
          </w:tcPr>
          <w:p w:rsidR="00FB126F" w:rsidRPr="002279E2" w:rsidRDefault="00FB126F" w:rsidP="00612935">
            <w:pPr>
              <w:rPr>
                <w:rFonts w:eastAsia="Times New Roman" w:cs="Times New Roman"/>
                <w:lang w:eastAsia="it-IT"/>
              </w:rPr>
            </w:pPr>
          </w:p>
        </w:tc>
        <w:tc>
          <w:tcPr>
            <w:tcW w:w="783" w:type="dxa"/>
            <w:tcBorders>
              <w:top w:val="nil"/>
              <w:left w:val="nil"/>
              <w:bottom w:val="nil"/>
              <w:right w:val="nil"/>
            </w:tcBorders>
            <w:shd w:val="clear" w:color="auto" w:fill="auto"/>
            <w:noWrap/>
            <w:vAlign w:val="bottom"/>
            <w:hideMark/>
          </w:tcPr>
          <w:p w:rsidR="00FB126F" w:rsidRPr="002279E2" w:rsidRDefault="00FB126F" w:rsidP="00612935">
            <w:pPr>
              <w:rPr>
                <w:rFonts w:eastAsia="Times New Roman" w:cs="Times New Roman"/>
                <w:lang w:eastAsia="it-IT"/>
              </w:rPr>
            </w:pPr>
          </w:p>
        </w:tc>
      </w:tr>
    </w:tbl>
    <w:p w:rsidR="00FB126F" w:rsidRPr="002279E2" w:rsidRDefault="00FB126F" w:rsidP="00612935">
      <w:pPr>
        <w:rPr>
          <w:rFonts w:cs="Times New Roman"/>
        </w:rPr>
      </w:pPr>
    </w:p>
    <w:p w:rsidR="00FB126F" w:rsidRPr="002279E2" w:rsidRDefault="00FB126F" w:rsidP="00612935">
      <w:pPr>
        <w:rPr>
          <w:rFonts w:cs="Times New Roman"/>
        </w:rPr>
      </w:pPr>
      <w:r w:rsidRPr="002279E2">
        <w:rPr>
          <w:rFonts w:cs="Times New Roman"/>
        </w:rPr>
        <w:t>Di cassa, con un acconto del 75% ai fini IRES, dell’85% ai fini IRAP e considerando la rateizzazione dell’imposta sostitutiva, l’andamento è il seguente:</w:t>
      </w:r>
    </w:p>
    <w:tbl>
      <w:tblPr>
        <w:tblW w:w="10313" w:type="dxa"/>
        <w:jc w:val="center"/>
        <w:tblCellMar>
          <w:left w:w="70" w:type="dxa"/>
          <w:right w:w="70" w:type="dxa"/>
        </w:tblCellMar>
        <w:tblLook w:val="04A0" w:firstRow="1" w:lastRow="0" w:firstColumn="1" w:lastColumn="0" w:noHBand="0" w:noVBand="1"/>
      </w:tblPr>
      <w:tblGrid>
        <w:gridCol w:w="1784"/>
        <w:gridCol w:w="778"/>
        <w:gridCol w:w="778"/>
        <w:gridCol w:w="872"/>
        <w:gridCol w:w="872"/>
        <w:gridCol w:w="747"/>
        <w:gridCol w:w="747"/>
        <w:gridCol w:w="747"/>
        <w:gridCol w:w="747"/>
        <w:gridCol w:w="747"/>
        <w:gridCol w:w="747"/>
        <w:gridCol w:w="747"/>
      </w:tblGrid>
      <w:tr w:rsidR="00FB126F" w:rsidRPr="002279E2" w:rsidTr="00FB126F">
        <w:trPr>
          <w:trHeight w:val="253"/>
          <w:jc w:val="center"/>
        </w:trPr>
        <w:tc>
          <w:tcPr>
            <w:tcW w:w="1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26F" w:rsidRPr="002279E2" w:rsidRDefault="00FB126F" w:rsidP="00612935">
            <w:pPr>
              <w:rPr>
                <w:rFonts w:eastAsia="Times New Roman" w:cs="Times New Roman"/>
                <w:b/>
                <w:color w:val="000000"/>
                <w:sz w:val="20"/>
                <w:lang w:eastAsia="it-IT"/>
              </w:rPr>
            </w:pPr>
            <w:r w:rsidRPr="002279E2">
              <w:rPr>
                <w:rFonts w:eastAsia="Times New Roman" w:cs="Times New Roman"/>
                <w:b/>
                <w:color w:val="000000"/>
                <w:sz w:val="20"/>
                <w:lang w:eastAsia="it-IT"/>
              </w:rPr>
              <w:t>Cassa</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center"/>
              <w:rPr>
                <w:rFonts w:eastAsia="Times New Roman" w:cs="Times New Roman"/>
                <w:b/>
                <w:color w:val="000000"/>
                <w:sz w:val="20"/>
                <w:lang w:eastAsia="it-IT"/>
              </w:rPr>
            </w:pPr>
            <w:r w:rsidRPr="002279E2">
              <w:rPr>
                <w:rFonts w:eastAsia="Times New Roman" w:cs="Times New Roman"/>
                <w:b/>
                <w:color w:val="000000"/>
                <w:sz w:val="20"/>
                <w:lang w:eastAsia="it-IT"/>
              </w:rPr>
              <w:t>2019</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center"/>
              <w:rPr>
                <w:rFonts w:eastAsia="Times New Roman" w:cs="Times New Roman"/>
                <w:b/>
                <w:color w:val="000000"/>
                <w:sz w:val="20"/>
                <w:lang w:eastAsia="it-IT"/>
              </w:rPr>
            </w:pPr>
            <w:r w:rsidRPr="002279E2">
              <w:rPr>
                <w:rFonts w:eastAsia="Times New Roman" w:cs="Times New Roman"/>
                <w:b/>
                <w:color w:val="000000"/>
                <w:sz w:val="20"/>
                <w:lang w:eastAsia="it-IT"/>
              </w:rPr>
              <w:t>2020</w:t>
            </w:r>
          </w:p>
        </w:tc>
        <w:tc>
          <w:tcPr>
            <w:tcW w:w="872"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center"/>
              <w:rPr>
                <w:rFonts w:eastAsia="Times New Roman" w:cs="Times New Roman"/>
                <w:b/>
                <w:color w:val="000000"/>
                <w:sz w:val="20"/>
                <w:lang w:eastAsia="it-IT"/>
              </w:rPr>
            </w:pPr>
            <w:r w:rsidRPr="002279E2">
              <w:rPr>
                <w:rFonts w:eastAsia="Times New Roman" w:cs="Times New Roman"/>
                <w:b/>
                <w:color w:val="000000"/>
                <w:sz w:val="20"/>
                <w:lang w:eastAsia="it-IT"/>
              </w:rPr>
              <w:t>2021</w:t>
            </w:r>
          </w:p>
        </w:tc>
        <w:tc>
          <w:tcPr>
            <w:tcW w:w="872"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center"/>
              <w:rPr>
                <w:rFonts w:eastAsia="Times New Roman" w:cs="Times New Roman"/>
                <w:b/>
                <w:color w:val="000000"/>
                <w:sz w:val="20"/>
                <w:lang w:eastAsia="it-IT"/>
              </w:rPr>
            </w:pPr>
            <w:r w:rsidRPr="002279E2">
              <w:rPr>
                <w:rFonts w:eastAsia="Times New Roman" w:cs="Times New Roman"/>
                <w:b/>
                <w:color w:val="000000"/>
                <w:sz w:val="20"/>
                <w:lang w:eastAsia="it-IT"/>
              </w:rPr>
              <w:t>2022</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center"/>
              <w:rPr>
                <w:rFonts w:eastAsia="Times New Roman" w:cs="Times New Roman"/>
                <w:b/>
                <w:color w:val="000000"/>
                <w:sz w:val="20"/>
                <w:lang w:eastAsia="it-IT"/>
              </w:rPr>
            </w:pPr>
            <w:r w:rsidRPr="002279E2">
              <w:rPr>
                <w:rFonts w:eastAsia="Times New Roman" w:cs="Times New Roman"/>
                <w:b/>
                <w:color w:val="000000"/>
                <w:sz w:val="20"/>
                <w:lang w:eastAsia="it-IT"/>
              </w:rPr>
              <w:t>2023</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center"/>
              <w:rPr>
                <w:rFonts w:eastAsia="Times New Roman" w:cs="Times New Roman"/>
                <w:b/>
                <w:color w:val="000000"/>
                <w:sz w:val="20"/>
                <w:lang w:eastAsia="it-IT"/>
              </w:rPr>
            </w:pPr>
            <w:r w:rsidRPr="002279E2">
              <w:rPr>
                <w:rFonts w:eastAsia="Times New Roman" w:cs="Times New Roman"/>
                <w:b/>
                <w:color w:val="000000"/>
                <w:sz w:val="20"/>
                <w:lang w:eastAsia="it-IT"/>
              </w:rPr>
              <w:t>2024</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center"/>
              <w:rPr>
                <w:rFonts w:eastAsia="Times New Roman" w:cs="Times New Roman"/>
                <w:b/>
                <w:color w:val="000000"/>
                <w:sz w:val="20"/>
                <w:lang w:eastAsia="it-IT"/>
              </w:rPr>
            </w:pPr>
            <w:r w:rsidRPr="002279E2">
              <w:rPr>
                <w:rFonts w:eastAsia="Times New Roman" w:cs="Times New Roman"/>
                <w:b/>
                <w:color w:val="000000"/>
                <w:sz w:val="20"/>
                <w:lang w:eastAsia="it-IT"/>
              </w:rPr>
              <w:t>2025</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center"/>
              <w:rPr>
                <w:rFonts w:eastAsia="Times New Roman" w:cs="Times New Roman"/>
                <w:b/>
                <w:color w:val="000000"/>
                <w:sz w:val="20"/>
                <w:lang w:eastAsia="it-IT"/>
              </w:rPr>
            </w:pPr>
            <w:r w:rsidRPr="002279E2">
              <w:rPr>
                <w:rFonts w:eastAsia="Times New Roman" w:cs="Times New Roman"/>
                <w:b/>
                <w:color w:val="000000"/>
                <w:sz w:val="20"/>
                <w:lang w:eastAsia="it-IT"/>
              </w:rPr>
              <w:t>2026</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center"/>
              <w:rPr>
                <w:rFonts w:eastAsia="Times New Roman" w:cs="Times New Roman"/>
                <w:b/>
                <w:color w:val="000000"/>
                <w:sz w:val="20"/>
                <w:lang w:eastAsia="it-IT"/>
              </w:rPr>
            </w:pPr>
            <w:r w:rsidRPr="002279E2">
              <w:rPr>
                <w:rFonts w:eastAsia="Times New Roman" w:cs="Times New Roman"/>
                <w:b/>
                <w:color w:val="000000"/>
                <w:sz w:val="20"/>
                <w:lang w:eastAsia="it-IT"/>
              </w:rPr>
              <w:t>2027</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center"/>
              <w:rPr>
                <w:rFonts w:eastAsia="Times New Roman" w:cs="Times New Roman"/>
                <w:b/>
                <w:color w:val="000000"/>
                <w:sz w:val="20"/>
                <w:lang w:eastAsia="it-IT"/>
              </w:rPr>
            </w:pPr>
            <w:r w:rsidRPr="002279E2">
              <w:rPr>
                <w:rFonts w:eastAsia="Times New Roman" w:cs="Times New Roman"/>
                <w:b/>
                <w:color w:val="000000"/>
                <w:sz w:val="20"/>
                <w:lang w:eastAsia="it-IT"/>
              </w:rPr>
              <w:t>2028</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rsidR="00FB126F" w:rsidRPr="002279E2" w:rsidRDefault="00FB126F" w:rsidP="00612935">
            <w:pPr>
              <w:jc w:val="center"/>
              <w:rPr>
                <w:rFonts w:eastAsia="Times New Roman" w:cs="Times New Roman"/>
                <w:b/>
                <w:color w:val="000000"/>
                <w:sz w:val="20"/>
                <w:lang w:eastAsia="it-IT"/>
              </w:rPr>
            </w:pPr>
            <w:r w:rsidRPr="002279E2">
              <w:rPr>
                <w:rFonts w:eastAsia="Times New Roman" w:cs="Times New Roman"/>
                <w:b/>
                <w:color w:val="000000"/>
                <w:sz w:val="20"/>
                <w:lang w:eastAsia="it-IT"/>
              </w:rPr>
              <w:t>2029</w:t>
            </w:r>
          </w:p>
        </w:tc>
      </w:tr>
      <w:tr w:rsidR="00FB126F" w:rsidRPr="002279E2" w:rsidTr="00FB126F">
        <w:trPr>
          <w:trHeight w:val="253"/>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rsidR="00FB126F" w:rsidRPr="002279E2" w:rsidRDefault="00FB126F" w:rsidP="00612935">
            <w:pPr>
              <w:rPr>
                <w:rFonts w:eastAsia="Times New Roman" w:cs="Times New Roman"/>
                <w:color w:val="000000"/>
                <w:sz w:val="20"/>
                <w:lang w:eastAsia="it-IT"/>
              </w:rPr>
            </w:pPr>
            <w:r w:rsidRPr="002279E2">
              <w:rPr>
                <w:rFonts w:eastAsia="Times New Roman" w:cs="Times New Roman"/>
                <w:color w:val="000000"/>
                <w:sz w:val="20"/>
                <w:lang w:eastAsia="it-IT"/>
              </w:rPr>
              <w:t>Imposta sostitutiva</w:t>
            </w:r>
          </w:p>
        </w:tc>
        <w:tc>
          <w:tcPr>
            <w:tcW w:w="778"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-1,6</w:t>
            </w:r>
          </w:p>
        </w:tc>
        <w:tc>
          <w:tcPr>
            <w:tcW w:w="778"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-3,8</w:t>
            </w:r>
          </w:p>
        </w:tc>
        <w:tc>
          <w:tcPr>
            <w:tcW w:w="872"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-5,5</w:t>
            </w:r>
          </w:p>
        </w:tc>
        <w:tc>
          <w:tcPr>
            <w:tcW w:w="872"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-5,5</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-3,8</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-1,6</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0,0</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0,0</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0,0</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0,0</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0,0</w:t>
            </w:r>
          </w:p>
        </w:tc>
      </w:tr>
      <w:tr w:rsidR="00FB126F" w:rsidRPr="002279E2" w:rsidTr="00FB126F">
        <w:trPr>
          <w:trHeight w:val="253"/>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rsidR="00FB126F" w:rsidRPr="002279E2" w:rsidRDefault="00FB126F" w:rsidP="00612935">
            <w:pPr>
              <w:rPr>
                <w:rFonts w:eastAsia="Times New Roman" w:cs="Times New Roman"/>
                <w:color w:val="000000"/>
                <w:sz w:val="20"/>
                <w:lang w:eastAsia="it-IT"/>
              </w:rPr>
            </w:pPr>
            <w:r w:rsidRPr="002279E2">
              <w:rPr>
                <w:rFonts w:eastAsia="Times New Roman" w:cs="Times New Roman"/>
                <w:color w:val="000000"/>
                <w:sz w:val="20"/>
                <w:lang w:eastAsia="it-IT"/>
              </w:rPr>
              <w:t>IRES</w:t>
            </w:r>
          </w:p>
        </w:tc>
        <w:tc>
          <w:tcPr>
            <w:tcW w:w="778"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0,0</w:t>
            </w:r>
          </w:p>
        </w:tc>
        <w:tc>
          <w:tcPr>
            <w:tcW w:w="778"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-8,0</w:t>
            </w:r>
          </w:p>
        </w:tc>
        <w:tc>
          <w:tcPr>
            <w:tcW w:w="872"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-12,5</w:t>
            </w:r>
          </w:p>
        </w:tc>
        <w:tc>
          <w:tcPr>
            <w:tcW w:w="872"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-17,1</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-21,6</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-26,2</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-14,8</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-10,2</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-5,7</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-1,1</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3,4</w:t>
            </w:r>
          </w:p>
        </w:tc>
      </w:tr>
      <w:tr w:rsidR="00FB126F" w:rsidRPr="002279E2" w:rsidTr="00FB126F">
        <w:trPr>
          <w:trHeight w:val="253"/>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rsidR="00FB126F" w:rsidRPr="002279E2" w:rsidRDefault="00FB126F" w:rsidP="00612935">
            <w:pPr>
              <w:rPr>
                <w:rFonts w:eastAsia="Times New Roman" w:cs="Times New Roman"/>
                <w:color w:val="000000"/>
                <w:sz w:val="20"/>
                <w:lang w:eastAsia="it-IT"/>
              </w:rPr>
            </w:pPr>
            <w:r w:rsidRPr="002279E2">
              <w:rPr>
                <w:rFonts w:eastAsia="Times New Roman" w:cs="Times New Roman"/>
                <w:color w:val="000000"/>
                <w:sz w:val="20"/>
                <w:lang w:eastAsia="it-IT"/>
              </w:rPr>
              <w:t>IRAP</w:t>
            </w:r>
          </w:p>
        </w:tc>
        <w:tc>
          <w:tcPr>
            <w:tcW w:w="778"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0,0</w:t>
            </w:r>
          </w:p>
        </w:tc>
        <w:tc>
          <w:tcPr>
            <w:tcW w:w="778"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-1,4</w:t>
            </w:r>
          </w:p>
        </w:tc>
        <w:tc>
          <w:tcPr>
            <w:tcW w:w="872"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-2,2</w:t>
            </w:r>
          </w:p>
        </w:tc>
        <w:tc>
          <w:tcPr>
            <w:tcW w:w="872"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-2,9</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-3,7</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-4,4</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-2,4</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-1,6</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-0,9</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-0,1</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color w:val="000000"/>
                <w:sz w:val="20"/>
                <w:lang w:eastAsia="it-IT"/>
              </w:rPr>
            </w:pPr>
            <w:r w:rsidRPr="002279E2">
              <w:rPr>
                <w:rFonts w:eastAsia="Times New Roman" w:cs="Times New Roman"/>
                <w:color w:val="000000"/>
                <w:sz w:val="20"/>
                <w:lang w:eastAsia="it-IT"/>
              </w:rPr>
              <w:t>0,6</w:t>
            </w:r>
          </w:p>
        </w:tc>
      </w:tr>
      <w:tr w:rsidR="00FB126F" w:rsidRPr="002279E2" w:rsidTr="00FB126F">
        <w:trPr>
          <w:trHeight w:val="253"/>
          <w:jc w:val="center"/>
        </w:trPr>
        <w:tc>
          <w:tcPr>
            <w:tcW w:w="1784" w:type="dxa"/>
            <w:tcBorders>
              <w:top w:val="nil"/>
              <w:left w:val="single" w:sz="4" w:space="0" w:color="auto"/>
              <w:bottom w:val="single" w:sz="4" w:space="0" w:color="auto"/>
              <w:right w:val="single" w:sz="4" w:space="0" w:color="auto"/>
            </w:tcBorders>
            <w:shd w:val="clear" w:color="auto" w:fill="auto"/>
            <w:noWrap/>
            <w:vAlign w:val="bottom"/>
            <w:hideMark/>
          </w:tcPr>
          <w:p w:rsidR="00FB126F" w:rsidRPr="002279E2" w:rsidRDefault="00FB126F" w:rsidP="00612935">
            <w:pPr>
              <w:rPr>
                <w:rFonts w:eastAsia="Times New Roman" w:cs="Times New Roman"/>
                <w:b/>
                <w:color w:val="000000"/>
                <w:sz w:val="20"/>
                <w:lang w:eastAsia="it-IT"/>
              </w:rPr>
            </w:pPr>
            <w:r w:rsidRPr="002279E2">
              <w:rPr>
                <w:rFonts w:eastAsia="Times New Roman" w:cs="Times New Roman"/>
                <w:b/>
                <w:color w:val="000000"/>
                <w:sz w:val="20"/>
                <w:lang w:eastAsia="it-IT"/>
              </w:rPr>
              <w:t>Totale</w:t>
            </w:r>
          </w:p>
        </w:tc>
        <w:tc>
          <w:tcPr>
            <w:tcW w:w="778"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b/>
                <w:color w:val="000000"/>
                <w:sz w:val="20"/>
                <w:lang w:eastAsia="it-IT"/>
              </w:rPr>
            </w:pPr>
            <w:r w:rsidRPr="002279E2">
              <w:rPr>
                <w:rFonts w:eastAsia="Times New Roman" w:cs="Times New Roman"/>
                <w:b/>
                <w:color w:val="000000"/>
                <w:sz w:val="20"/>
                <w:lang w:eastAsia="it-IT"/>
              </w:rPr>
              <w:t>-1,6</w:t>
            </w:r>
          </w:p>
        </w:tc>
        <w:tc>
          <w:tcPr>
            <w:tcW w:w="778"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b/>
                <w:color w:val="000000"/>
                <w:sz w:val="20"/>
                <w:lang w:eastAsia="it-IT"/>
              </w:rPr>
            </w:pPr>
            <w:r w:rsidRPr="002279E2">
              <w:rPr>
                <w:rFonts w:eastAsia="Times New Roman" w:cs="Times New Roman"/>
                <w:b/>
                <w:color w:val="000000"/>
                <w:sz w:val="20"/>
                <w:lang w:eastAsia="it-IT"/>
              </w:rPr>
              <w:t>-13,2</w:t>
            </w:r>
          </w:p>
        </w:tc>
        <w:tc>
          <w:tcPr>
            <w:tcW w:w="872"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b/>
                <w:color w:val="000000"/>
                <w:sz w:val="20"/>
                <w:lang w:eastAsia="it-IT"/>
              </w:rPr>
            </w:pPr>
            <w:r w:rsidRPr="002279E2">
              <w:rPr>
                <w:rFonts w:eastAsia="Times New Roman" w:cs="Times New Roman"/>
                <w:b/>
                <w:color w:val="000000"/>
                <w:sz w:val="20"/>
                <w:lang w:eastAsia="it-IT"/>
              </w:rPr>
              <w:t>-20,1</w:t>
            </w:r>
          </w:p>
        </w:tc>
        <w:tc>
          <w:tcPr>
            <w:tcW w:w="872"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b/>
                <w:color w:val="000000"/>
                <w:sz w:val="20"/>
                <w:lang w:eastAsia="it-IT"/>
              </w:rPr>
            </w:pPr>
            <w:r w:rsidRPr="002279E2">
              <w:rPr>
                <w:rFonts w:eastAsia="Times New Roman" w:cs="Times New Roman"/>
                <w:b/>
                <w:color w:val="000000"/>
                <w:sz w:val="20"/>
                <w:lang w:eastAsia="it-IT"/>
              </w:rPr>
              <w:t>-25,5</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b/>
                <w:color w:val="000000"/>
                <w:sz w:val="20"/>
                <w:lang w:eastAsia="it-IT"/>
              </w:rPr>
            </w:pPr>
            <w:r w:rsidRPr="002279E2">
              <w:rPr>
                <w:rFonts w:eastAsia="Times New Roman" w:cs="Times New Roman"/>
                <w:b/>
                <w:color w:val="000000"/>
                <w:sz w:val="20"/>
                <w:lang w:eastAsia="it-IT"/>
              </w:rPr>
              <w:t>-29,1</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b/>
                <w:color w:val="000000"/>
                <w:sz w:val="20"/>
                <w:lang w:eastAsia="it-IT"/>
              </w:rPr>
            </w:pPr>
            <w:r w:rsidRPr="002279E2">
              <w:rPr>
                <w:rFonts w:eastAsia="Times New Roman" w:cs="Times New Roman"/>
                <w:b/>
                <w:color w:val="000000"/>
                <w:sz w:val="20"/>
                <w:lang w:eastAsia="it-IT"/>
              </w:rPr>
              <w:t>-32,3</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b/>
                <w:color w:val="000000"/>
                <w:sz w:val="20"/>
                <w:lang w:eastAsia="it-IT"/>
              </w:rPr>
            </w:pPr>
            <w:r w:rsidRPr="002279E2">
              <w:rPr>
                <w:rFonts w:eastAsia="Times New Roman" w:cs="Times New Roman"/>
                <w:b/>
                <w:color w:val="000000"/>
                <w:sz w:val="20"/>
                <w:lang w:eastAsia="it-IT"/>
              </w:rPr>
              <w:t>-17,2</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b/>
                <w:color w:val="000000"/>
                <w:sz w:val="20"/>
                <w:lang w:eastAsia="it-IT"/>
              </w:rPr>
            </w:pPr>
            <w:r w:rsidRPr="002279E2">
              <w:rPr>
                <w:rFonts w:eastAsia="Times New Roman" w:cs="Times New Roman"/>
                <w:b/>
                <w:color w:val="000000"/>
                <w:sz w:val="20"/>
                <w:lang w:eastAsia="it-IT"/>
              </w:rPr>
              <w:t>-11,9</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b/>
                <w:color w:val="000000"/>
                <w:sz w:val="20"/>
                <w:lang w:eastAsia="it-IT"/>
              </w:rPr>
            </w:pPr>
            <w:r w:rsidRPr="002279E2">
              <w:rPr>
                <w:rFonts w:eastAsia="Times New Roman" w:cs="Times New Roman"/>
                <w:b/>
                <w:color w:val="000000"/>
                <w:sz w:val="20"/>
                <w:lang w:eastAsia="it-IT"/>
              </w:rPr>
              <w:t>-6,6</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b/>
                <w:color w:val="000000"/>
                <w:sz w:val="20"/>
                <w:lang w:eastAsia="it-IT"/>
              </w:rPr>
            </w:pPr>
            <w:r w:rsidRPr="002279E2">
              <w:rPr>
                <w:rFonts w:eastAsia="Times New Roman" w:cs="Times New Roman"/>
                <w:b/>
                <w:color w:val="000000"/>
                <w:sz w:val="20"/>
                <w:lang w:eastAsia="it-IT"/>
              </w:rPr>
              <w:t>-1,3</w:t>
            </w:r>
          </w:p>
        </w:tc>
        <w:tc>
          <w:tcPr>
            <w:tcW w:w="747" w:type="dxa"/>
            <w:tcBorders>
              <w:top w:val="nil"/>
              <w:left w:val="nil"/>
              <w:bottom w:val="single" w:sz="4" w:space="0" w:color="auto"/>
              <w:right w:val="single" w:sz="4" w:space="0" w:color="auto"/>
            </w:tcBorders>
            <w:shd w:val="clear" w:color="auto" w:fill="auto"/>
            <w:noWrap/>
            <w:vAlign w:val="bottom"/>
            <w:hideMark/>
          </w:tcPr>
          <w:p w:rsidR="00FB126F" w:rsidRPr="002279E2" w:rsidRDefault="00FB126F" w:rsidP="00612935">
            <w:pPr>
              <w:jc w:val="right"/>
              <w:rPr>
                <w:rFonts w:eastAsia="Times New Roman" w:cs="Times New Roman"/>
                <w:b/>
                <w:color w:val="000000"/>
                <w:sz w:val="20"/>
                <w:lang w:eastAsia="it-IT"/>
              </w:rPr>
            </w:pPr>
            <w:r w:rsidRPr="002279E2">
              <w:rPr>
                <w:rFonts w:eastAsia="Times New Roman" w:cs="Times New Roman"/>
                <w:b/>
                <w:color w:val="000000"/>
                <w:sz w:val="20"/>
                <w:lang w:eastAsia="it-IT"/>
              </w:rPr>
              <w:t>4,1</w:t>
            </w:r>
          </w:p>
        </w:tc>
      </w:tr>
      <w:tr w:rsidR="00FB126F" w:rsidRPr="002279E2" w:rsidTr="00FB126F">
        <w:trPr>
          <w:trHeight w:val="253"/>
          <w:jc w:val="center"/>
        </w:trPr>
        <w:tc>
          <w:tcPr>
            <w:tcW w:w="1784" w:type="dxa"/>
            <w:tcBorders>
              <w:top w:val="nil"/>
              <w:left w:val="nil"/>
              <w:bottom w:val="nil"/>
              <w:right w:val="nil"/>
            </w:tcBorders>
            <w:shd w:val="clear" w:color="auto" w:fill="auto"/>
            <w:noWrap/>
            <w:vAlign w:val="bottom"/>
            <w:hideMark/>
          </w:tcPr>
          <w:p w:rsidR="00FB126F" w:rsidRPr="002279E2" w:rsidRDefault="00FB126F" w:rsidP="00612935">
            <w:pPr>
              <w:rPr>
                <w:rFonts w:eastAsia="Times New Roman" w:cs="Times New Roman"/>
                <w:color w:val="000000"/>
                <w:sz w:val="20"/>
                <w:lang w:eastAsia="it-IT"/>
              </w:rPr>
            </w:pPr>
            <w:r w:rsidRPr="002279E2">
              <w:rPr>
                <w:rFonts w:eastAsia="Times New Roman" w:cs="Times New Roman"/>
                <w:color w:val="000000"/>
                <w:sz w:val="20"/>
                <w:lang w:eastAsia="it-IT"/>
              </w:rPr>
              <w:t>Milioni di euro</w:t>
            </w:r>
          </w:p>
        </w:tc>
        <w:tc>
          <w:tcPr>
            <w:tcW w:w="778" w:type="dxa"/>
            <w:tcBorders>
              <w:top w:val="nil"/>
              <w:left w:val="nil"/>
              <w:bottom w:val="nil"/>
              <w:right w:val="nil"/>
            </w:tcBorders>
            <w:shd w:val="clear" w:color="auto" w:fill="auto"/>
            <w:noWrap/>
            <w:vAlign w:val="bottom"/>
            <w:hideMark/>
          </w:tcPr>
          <w:p w:rsidR="00FB126F" w:rsidRPr="002279E2" w:rsidRDefault="00FB126F" w:rsidP="00612935">
            <w:pPr>
              <w:rPr>
                <w:rFonts w:eastAsia="Times New Roman" w:cs="Times New Roman"/>
                <w:color w:val="000000"/>
                <w:sz w:val="20"/>
                <w:lang w:eastAsia="it-IT"/>
              </w:rPr>
            </w:pPr>
          </w:p>
        </w:tc>
        <w:tc>
          <w:tcPr>
            <w:tcW w:w="778" w:type="dxa"/>
            <w:tcBorders>
              <w:top w:val="nil"/>
              <w:left w:val="nil"/>
              <w:bottom w:val="nil"/>
              <w:right w:val="nil"/>
            </w:tcBorders>
            <w:shd w:val="clear" w:color="auto" w:fill="auto"/>
            <w:noWrap/>
            <w:vAlign w:val="bottom"/>
            <w:hideMark/>
          </w:tcPr>
          <w:p w:rsidR="00FB126F" w:rsidRPr="002279E2" w:rsidRDefault="00FB126F" w:rsidP="00612935">
            <w:pPr>
              <w:rPr>
                <w:rFonts w:eastAsia="Times New Roman" w:cs="Times New Roman"/>
                <w:sz w:val="20"/>
                <w:lang w:eastAsia="it-IT"/>
              </w:rPr>
            </w:pPr>
          </w:p>
        </w:tc>
        <w:tc>
          <w:tcPr>
            <w:tcW w:w="872" w:type="dxa"/>
            <w:tcBorders>
              <w:top w:val="nil"/>
              <w:left w:val="nil"/>
              <w:bottom w:val="nil"/>
              <w:right w:val="nil"/>
            </w:tcBorders>
            <w:shd w:val="clear" w:color="auto" w:fill="auto"/>
            <w:noWrap/>
            <w:vAlign w:val="bottom"/>
            <w:hideMark/>
          </w:tcPr>
          <w:p w:rsidR="00FB126F" w:rsidRPr="002279E2" w:rsidRDefault="00FB126F" w:rsidP="00612935">
            <w:pPr>
              <w:rPr>
                <w:rFonts w:eastAsia="Times New Roman" w:cs="Times New Roman"/>
                <w:sz w:val="20"/>
                <w:lang w:eastAsia="it-IT"/>
              </w:rPr>
            </w:pPr>
          </w:p>
        </w:tc>
        <w:tc>
          <w:tcPr>
            <w:tcW w:w="872" w:type="dxa"/>
            <w:tcBorders>
              <w:top w:val="nil"/>
              <w:left w:val="nil"/>
              <w:bottom w:val="nil"/>
              <w:right w:val="nil"/>
            </w:tcBorders>
            <w:shd w:val="clear" w:color="auto" w:fill="auto"/>
            <w:noWrap/>
            <w:vAlign w:val="bottom"/>
            <w:hideMark/>
          </w:tcPr>
          <w:p w:rsidR="00FB126F" w:rsidRPr="002279E2" w:rsidRDefault="00FB126F" w:rsidP="00612935">
            <w:pPr>
              <w:rPr>
                <w:rFonts w:eastAsia="Times New Roman" w:cs="Times New Roman"/>
                <w:sz w:val="20"/>
                <w:lang w:eastAsia="it-IT"/>
              </w:rPr>
            </w:pPr>
          </w:p>
        </w:tc>
        <w:tc>
          <w:tcPr>
            <w:tcW w:w="747" w:type="dxa"/>
            <w:tcBorders>
              <w:top w:val="nil"/>
              <w:left w:val="nil"/>
              <w:bottom w:val="nil"/>
              <w:right w:val="nil"/>
            </w:tcBorders>
            <w:shd w:val="clear" w:color="auto" w:fill="auto"/>
            <w:noWrap/>
            <w:vAlign w:val="bottom"/>
            <w:hideMark/>
          </w:tcPr>
          <w:p w:rsidR="00FB126F" w:rsidRPr="002279E2" w:rsidRDefault="00FB126F" w:rsidP="00612935">
            <w:pPr>
              <w:rPr>
                <w:rFonts w:eastAsia="Times New Roman" w:cs="Times New Roman"/>
                <w:sz w:val="20"/>
                <w:lang w:eastAsia="it-IT"/>
              </w:rPr>
            </w:pPr>
          </w:p>
        </w:tc>
        <w:tc>
          <w:tcPr>
            <w:tcW w:w="747" w:type="dxa"/>
            <w:tcBorders>
              <w:top w:val="nil"/>
              <w:left w:val="nil"/>
              <w:bottom w:val="nil"/>
              <w:right w:val="nil"/>
            </w:tcBorders>
            <w:shd w:val="clear" w:color="auto" w:fill="auto"/>
            <w:noWrap/>
            <w:vAlign w:val="bottom"/>
            <w:hideMark/>
          </w:tcPr>
          <w:p w:rsidR="00FB126F" w:rsidRPr="002279E2" w:rsidRDefault="00FB126F" w:rsidP="00612935">
            <w:pPr>
              <w:rPr>
                <w:rFonts w:eastAsia="Times New Roman" w:cs="Times New Roman"/>
                <w:sz w:val="20"/>
                <w:lang w:eastAsia="it-IT"/>
              </w:rPr>
            </w:pPr>
          </w:p>
        </w:tc>
        <w:tc>
          <w:tcPr>
            <w:tcW w:w="747" w:type="dxa"/>
            <w:tcBorders>
              <w:top w:val="nil"/>
              <w:left w:val="nil"/>
              <w:bottom w:val="nil"/>
              <w:right w:val="nil"/>
            </w:tcBorders>
            <w:shd w:val="clear" w:color="auto" w:fill="auto"/>
            <w:noWrap/>
            <w:vAlign w:val="bottom"/>
            <w:hideMark/>
          </w:tcPr>
          <w:p w:rsidR="00FB126F" w:rsidRPr="002279E2" w:rsidRDefault="00FB126F" w:rsidP="00612935">
            <w:pPr>
              <w:rPr>
                <w:rFonts w:eastAsia="Times New Roman" w:cs="Times New Roman"/>
                <w:sz w:val="20"/>
                <w:lang w:eastAsia="it-IT"/>
              </w:rPr>
            </w:pPr>
          </w:p>
        </w:tc>
        <w:tc>
          <w:tcPr>
            <w:tcW w:w="747" w:type="dxa"/>
            <w:tcBorders>
              <w:top w:val="nil"/>
              <w:left w:val="nil"/>
              <w:bottom w:val="nil"/>
              <w:right w:val="nil"/>
            </w:tcBorders>
            <w:shd w:val="clear" w:color="auto" w:fill="auto"/>
            <w:noWrap/>
            <w:vAlign w:val="bottom"/>
            <w:hideMark/>
          </w:tcPr>
          <w:p w:rsidR="00FB126F" w:rsidRPr="002279E2" w:rsidRDefault="00FB126F" w:rsidP="00612935">
            <w:pPr>
              <w:rPr>
                <w:rFonts w:eastAsia="Times New Roman" w:cs="Times New Roman"/>
                <w:sz w:val="20"/>
                <w:lang w:eastAsia="it-IT"/>
              </w:rPr>
            </w:pPr>
          </w:p>
        </w:tc>
        <w:tc>
          <w:tcPr>
            <w:tcW w:w="747" w:type="dxa"/>
            <w:tcBorders>
              <w:top w:val="nil"/>
              <w:left w:val="nil"/>
              <w:bottom w:val="nil"/>
              <w:right w:val="nil"/>
            </w:tcBorders>
            <w:shd w:val="clear" w:color="auto" w:fill="auto"/>
            <w:noWrap/>
            <w:vAlign w:val="bottom"/>
            <w:hideMark/>
          </w:tcPr>
          <w:p w:rsidR="00FB126F" w:rsidRPr="002279E2" w:rsidRDefault="00FB126F" w:rsidP="00612935">
            <w:pPr>
              <w:rPr>
                <w:rFonts w:eastAsia="Times New Roman" w:cs="Times New Roman"/>
                <w:sz w:val="20"/>
                <w:lang w:eastAsia="it-IT"/>
              </w:rPr>
            </w:pPr>
          </w:p>
        </w:tc>
        <w:tc>
          <w:tcPr>
            <w:tcW w:w="747" w:type="dxa"/>
            <w:tcBorders>
              <w:top w:val="nil"/>
              <w:left w:val="nil"/>
              <w:bottom w:val="nil"/>
              <w:right w:val="nil"/>
            </w:tcBorders>
            <w:shd w:val="clear" w:color="auto" w:fill="auto"/>
            <w:noWrap/>
            <w:vAlign w:val="bottom"/>
            <w:hideMark/>
          </w:tcPr>
          <w:p w:rsidR="00FB126F" w:rsidRPr="002279E2" w:rsidRDefault="00FB126F" w:rsidP="00612935">
            <w:pPr>
              <w:rPr>
                <w:rFonts w:eastAsia="Times New Roman" w:cs="Times New Roman"/>
                <w:sz w:val="20"/>
                <w:lang w:eastAsia="it-IT"/>
              </w:rPr>
            </w:pPr>
          </w:p>
        </w:tc>
        <w:tc>
          <w:tcPr>
            <w:tcW w:w="747" w:type="dxa"/>
            <w:tcBorders>
              <w:top w:val="nil"/>
              <w:left w:val="nil"/>
              <w:bottom w:val="nil"/>
              <w:right w:val="nil"/>
            </w:tcBorders>
            <w:shd w:val="clear" w:color="auto" w:fill="auto"/>
            <w:noWrap/>
            <w:vAlign w:val="bottom"/>
            <w:hideMark/>
          </w:tcPr>
          <w:p w:rsidR="00FB126F" w:rsidRPr="002279E2" w:rsidRDefault="00FB126F" w:rsidP="00612935">
            <w:pPr>
              <w:rPr>
                <w:rFonts w:eastAsia="Times New Roman" w:cs="Times New Roman"/>
                <w:sz w:val="20"/>
                <w:lang w:eastAsia="it-IT"/>
              </w:rPr>
            </w:pPr>
          </w:p>
        </w:tc>
      </w:tr>
    </w:tbl>
    <w:p w:rsidR="007E4FDC" w:rsidRPr="002279E2" w:rsidRDefault="007E4FDC" w:rsidP="00612935">
      <w:pPr>
        <w:rPr>
          <w:rFonts w:cs="Times New Roman"/>
        </w:rPr>
      </w:pPr>
    </w:p>
    <w:p w:rsidR="007E4FDC" w:rsidRPr="002279E2" w:rsidRDefault="007E4FDC" w:rsidP="00612935">
      <w:pPr>
        <w:pStyle w:val="Titolo2"/>
        <w:spacing w:after="0"/>
      </w:pPr>
      <w:bookmarkStart w:id="29" w:name="_Toc4423348"/>
      <w:bookmarkStart w:id="30" w:name="_Toc6937340"/>
      <w:r w:rsidRPr="002279E2">
        <w:t xml:space="preserve">Articolo </w:t>
      </w:r>
      <w:r w:rsidR="00D10BAD" w:rsidRPr="002279E2">
        <w:t>1</w:t>
      </w:r>
      <w:r w:rsidR="00B30DBD" w:rsidRPr="002279E2">
        <w:t>2</w:t>
      </w:r>
      <w:r w:rsidRPr="002279E2">
        <w:br/>
        <w:t xml:space="preserve">(Fatturazione elettronica </w:t>
      </w:r>
      <w:r w:rsidR="00253732" w:rsidRPr="002279E2">
        <w:t xml:space="preserve">Repubblica di </w:t>
      </w:r>
      <w:r w:rsidRPr="002279E2">
        <w:t>San Marino)</w:t>
      </w:r>
      <w:bookmarkEnd w:id="29"/>
      <w:bookmarkEnd w:id="30"/>
    </w:p>
    <w:p w:rsidR="00104663" w:rsidRPr="002279E2" w:rsidRDefault="00AA05D7" w:rsidP="00AA05D7">
      <w:r w:rsidRPr="002279E2">
        <w:t xml:space="preserve">1. </w:t>
      </w:r>
      <w:r w:rsidR="00104663" w:rsidRPr="002279E2">
        <w:t>Gli adempimenti relativi ai rapporti di scambio con la Repubblica di San Marino, previsti dal decreto del Ministro delle Finanze 24 dicembre 1993, sono eseguiti in via elettronica secondo modalità stabilite con decreto del ministro dell’Economia e delle Finanze</w:t>
      </w:r>
      <w:r w:rsidR="00104663" w:rsidRPr="0024187C">
        <w:t xml:space="preserve"> in </w:t>
      </w:r>
      <w:r w:rsidR="00487F4E" w:rsidRPr="0024187C">
        <w:t>conformità</w:t>
      </w:r>
      <w:r w:rsidR="00104663" w:rsidRPr="002279E2">
        <w:t xml:space="preserve"> ad accordi con detto Stato. Sono fatti salvi gli esoneri dall’obbligo generalizzato di fatturazione elettronica previsti da specifiche disposizioni di legge. Con provvedimento del direttore dell'Agenzia delle entrate sono emanate le regole tecniche necessarie per l'attuazione del presente articolo.</w:t>
      </w:r>
    </w:p>
    <w:p w:rsidR="00104663" w:rsidRPr="002279E2" w:rsidRDefault="00104663" w:rsidP="00612935">
      <w:pPr>
        <w:rPr>
          <w:rFonts w:cs="Times New Roman"/>
        </w:rPr>
      </w:pPr>
    </w:p>
    <w:p w:rsidR="00104663" w:rsidRPr="002279E2" w:rsidRDefault="00104663" w:rsidP="00612935">
      <w:pPr>
        <w:jc w:val="center"/>
        <w:rPr>
          <w:rFonts w:cs="Times New Roman"/>
          <w:b/>
        </w:rPr>
      </w:pPr>
      <w:r w:rsidRPr="002279E2">
        <w:rPr>
          <w:rFonts w:cs="Times New Roman"/>
          <w:b/>
        </w:rPr>
        <w:t>Relazione illustrativa</w:t>
      </w:r>
    </w:p>
    <w:p w:rsidR="00104663" w:rsidRPr="002279E2" w:rsidRDefault="00104663" w:rsidP="00612935">
      <w:pPr>
        <w:rPr>
          <w:rFonts w:cs="Times New Roman"/>
        </w:rPr>
      </w:pPr>
      <w:r w:rsidRPr="002279E2">
        <w:rPr>
          <w:rFonts w:cs="Times New Roman"/>
        </w:rPr>
        <w:t xml:space="preserve">La norma intende modificare le modalità tramite le quali vengono posti in essere gli adempimenti previsti dal d.m. 24 dicembre 1993, relativamente alla fatturazione dei rapporti di scambio fra l’Italia e San Marino. </w:t>
      </w:r>
    </w:p>
    <w:p w:rsidR="00104663" w:rsidRPr="002279E2" w:rsidRDefault="00104663" w:rsidP="00612935">
      <w:pPr>
        <w:rPr>
          <w:rFonts w:cs="Times New Roman"/>
        </w:rPr>
      </w:pPr>
      <w:r w:rsidRPr="002279E2">
        <w:rPr>
          <w:rFonts w:cs="Times New Roman"/>
        </w:rPr>
        <w:t>In particolare, tenuto conto della peculiarità degli scambi italo-san marinesi,  caratterizzato dalla libera circolazione delle merci e dalla diffusa capillarità,  nonché dell’’entrata in vigore, già a partire dal 1° gennaio 2019, dell’obbligo di fatturazione elettronica generalizzato per tutte le operazioni poste in essere tra soggetti residenti o stabiliti in Italia, la norma intende  prevedere  anche nei rapporti commerciali tra Italia e San Marino l’obbligo di fatturazione in modalità elettronica, anziché attraverso la fattura emessa  in  formato cartaceo e in quattro esemplari come previsto dal citato dm 24 dicembre 1993.</w:t>
      </w:r>
    </w:p>
    <w:p w:rsidR="00104663" w:rsidRPr="002279E2" w:rsidRDefault="00104663" w:rsidP="00612935">
      <w:pPr>
        <w:rPr>
          <w:rFonts w:cs="Times New Roman"/>
        </w:rPr>
      </w:pPr>
      <w:r w:rsidRPr="002279E2">
        <w:rPr>
          <w:rFonts w:cs="Times New Roman"/>
        </w:rPr>
        <w:t>L’intervento normativo costituisce una misura strategica urgente per gli operatori economici coinvolti in quanto semplifica gli adempimenti certificativi, allineandoli a quelli applicabili sul territorio  italiano, consolidando i rapporti economici tra i due Stati e introduce  un più efficace strumento di compliance nel corretto assolvimento dell’imposta nell’interesse di entrambi gli Stati.</w:t>
      </w:r>
    </w:p>
    <w:p w:rsidR="00104663" w:rsidRPr="002279E2" w:rsidRDefault="00104663" w:rsidP="00612935">
      <w:pPr>
        <w:rPr>
          <w:rFonts w:cs="Times New Roman"/>
        </w:rPr>
      </w:pPr>
      <w:r w:rsidRPr="002279E2">
        <w:rPr>
          <w:rFonts w:cs="Times New Roman"/>
        </w:rPr>
        <w:t>Restano in ogni caso ferme le ipotesi di esonero dall’obbligo di fatturazione elettronica previste da specifiche disposizioni di legge, tra le quali quelle previste per i soggetti passivi che rientrano nel cosiddetto "regime di vantaggio" di cui all'articolo 27, commi 1 e 2, del  DL n. 98 del 2011, per i soggetti che applicano il  regime forfettario di cui all'articolo 1, commi da 54 a 89, della L. n. 190 del 2014, per i soggetti passivi che hanno esercitato l'opzione di cui agli articoli 1 e 2 della L. n. 398 del 1991 che abbiano conseguito dall'esercizio di attività commerciali proventi per un importo non superiore a euro 65.000, per il 2019 i soggetti tenuti all’invio dei dati al sistema tessera sanitaria.</w:t>
      </w:r>
    </w:p>
    <w:p w:rsidR="00104663" w:rsidRPr="002279E2" w:rsidRDefault="00104663" w:rsidP="00612935">
      <w:pPr>
        <w:rPr>
          <w:rFonts w:cs="Times New Roman"/>
        </w:rPr>
      </w:pPr>
      <w:r w:rsidRPr="002279E2">
        <w:rPr>
          <w:rFonts w:cs="Times New Roman"/>
        </w:rPr>
        <w:t xml:space="preserve">L’efficacia della disposizione è subordinata alla modifica del d.m. 24 dicembre 1993, da adottare sulla base di un accordo tra i due Stati,  ai sensi dell’articolo 71 del d. P.R.  n. 633 del 1972, al fine di adeguare le disposizioni ivi contenute alle richieste degli operatori di applicare la fatturazione elettronica anche alle operazioni attive e passive tra l’ Italia e  San Marino. </w:t>
      </w:r>
    </w:p>
    <w:p w:rsidR="00104663" w:rsidRPr="002279E2" w:rsidRDefault="00104663" w:rsidP="00612935">
      <w:pPr>
        <w:rPr>
          <w:rFonts w:cs="Times New Roman"/>
        </w:rPr>
      </w:pPr>
      <w:r w:rsidRPr="002279E2">
        <w:rPr>
          <w:rFonts w:cs="Times New Roman"/>
        </w:rPr>
        <w:t xml:space="preserve">Le specifiche tecniche relative alle modalità di fatturazione elettronica saranno individuate con provvedimento  del Direttore dell’Agenzia delle entrate. </w:t>
      </w:r>
    </w:p>
    <w:p w:rsidR="00104663" w:rsidRPr="002279E2" w:rsidRDefault="00104663" w:rsidP="00612935">
      <w:pPr>
        <w:rPr>
          <w:rFonts w:cs="Times New Roman"/>
        </w:rPr>
      </w:pPr>
    </w:p>
    <w:p w:rsidR="00104663" w:rsidRPr="002279E2" w:rsidRDefault="00104663" w:rsidP="00612935">
      <w:pPr>
        <w:jc w:val="center"/>
        <w:rPr>
          <w:rFonts w:cs="Times New Roman"/>
          <w:b/>
        </w:rPr>
      </w:pPr>
      <w:r w:rsidRPr="002279E2">
        <w:rPr>
          <w:rFonts w:cs="Times New Roman"/>
          <w:b/>
        </w:rPr>
        <w:lastRenderedPageBreak/>
        <w:t>Relazione tecnica</w:t>
      </w:r>
    </w:p>
    <w:p w:rsidR="00104663" w:rsidRPr="002279E2" w:rsidRDefault="00104663" w:rsidP="00612935">
      <w:pPr>
        <w:rPr>
          <w:rFonts w:cs="Times New Roman"/>
        </w:rPr>
      </w:pPr>
      <w:r w:rsidRPr="002279E2">
        <w:rPr>
          <w:rFonts w:cs="Times New Roman"/>
        </w:rPr>
        <w:t>La noma ha natura procedurale e non comporta, conseguentemente, effetti di gettito.</w:t>
      </w:r>
    </w:p>
    <w:p w:rsidR="00D10BAD" w:rsidRPr="002279E2" w:rsidRDefault="00D10BAD" w:rsidP="00612935">
      <w:pPr>
        <w:rPr>
          <w:rFonts w:cs="Times New Roman"/>
        </w:rPr>
      </w:pPr>
    </w:p>
    <w:p w:rsidR="00247E67" w:rsidRPr="002279E2" w:rsidRDefault="00247E67" w:rsidP="000E5653">
      <w:pPr>
        <w:pStyle w:val="Titolo2"/>
      </w:pPr>
      <w:bookmarkStart w:id="31" w:name="_Toc4423341"/>
      <w:bookmarkStart w:id="32" w:name="_Toc4776219"/>
      <w:bookmarkStart w:id="33" w:name="_Toc6937341"/>
      <w:r w:rsidRPr="002279E2">
        <w:t>Articolo 1</w:t>
      </w:r>
      <w:r w:rsidR="00B30DBD" w:rsidRPr="002279E2">
        <w:t>3</w:t>
      </w:r>
      <w:r w:rsidRPr="002279E2">
        <w:br/>
        <w:t>(Vendita di beni tramite piattaforme digitali)</w:t>
      </w:r>
      <w:bookmarkEnd w:id="31"/>
      <w:bookmarkEnd w:id="32"/>
      <w:bookmarkEnd w:id="33"/>
    </w:p>
    <w:p w:rsidR="00DE554B" w:rsidRPr="002279E2" w:rsidRDefault="00DE554B" w:rsidP="00DE554B">
      <w:pPr>
        <w:rPr>
          <w:rFonts w:eastAsia="Times New Roman" w:cs="Times New Roman"/>
          <w:lang w:eastAsia="it-IT"/>
        </w:rPr>
      </w:pPr>
      <w:r w:rsidRPr="002279E2">
        <w:rPr>
          <w:rFonts w:eastAsia="Times New Roman" w:cs="Times New Roman"/>
          <w:lang w:eastAsia="it-IT"/>
        </w:rPr>
        <w:t xml:space="preserve">1.  Il soggetto passivo che facilita, tramite l'uso di un'interfaccia elettronica quale un mercato virtuale, una piattaforma, un portale o mezzi analoghi, le vendite a distanza di beni importati o le vendite a distanza di beni all’interno dell’Unione europea è tenuto a trasmettere entro il mese successivo a ciascun trimestre, secondo modalità stabilite con provvedimento del direttore dell'Agenzia delle entrate, per ciascun fornitore i seguenti dati: </w:t>
      </w:r>
    </w:p>
    <w:p w:rsidR="00DE554B" w:rsidRPr="002279E2" w:rsidRDefault="00DE554B" w:rsidP="00DE554B">
      <w:pPr>
        <w:rPr>
          <w:rFonts w:eastAsia="Times New Roman" w:cs="Times New Roman"/>
          <w:lang w:eastAsia="it-IT"/>
        </w:rPr>
      </w:pPr>
      <w:r w:rsidRPr="002279E2">
        <w:rPr>
          <w:rFonts w:eastAsia="Times New Roman" w:cs="Times New Roman"/>
          <w:lang w:eastAsia="it-IT"/>
        </w:rPr>
        <w:t>a) la denominazione, la residenza o il domicilio, l’indirizzo di posta elettronica;</w:t>
      </w:r>
    </w:p>
    <w:p w:rsidR="00DE554B" w:rsidRPr="002279E2" w:rsidRDefault="00DE554B" w:rsidP="00DE554B">
      <w:pPr>
        <w:rPr>
          <w:rFonts w:eastAsia="Times New Roman" w:cs="Times New Roman"/>
          <w:lang w:eastAsia="it-IT"/>
        </w:rPr>
      </w:pPr>
      <w:r w:rsidRPr="002279E2">
        <w:rPr>
          <w:rFonts w:eastAsia="Times New Roman" w:cs="Times New Roman"/>
          <w:lang w:eastAsia="it-IT"/>
        </w:rPr>
        <w:t>b) il numero totale delle unità vendute in Italia;</w:t>
      </w:r>
    </w:p>
    <w:p w:rsidR="00DE554B" w:rsidRPr="002279E2" w:rsidRDefault="00DE554B" w:rsidP="00DE554B">
      <w:pPr>
        <w:rPr>
          <w:rFonts w:eastAsia="Times New Roman" w:cs="Times New Roman"/>
          <w:lang w:eastAsia="it-IT"/>
        </w:rPr>
      </w:pPr>
      <w:r w:rsidRPr="002279E2">
        <w:rPr>
          <w:rFonts w:eastAsia="Times New Roman" w:cs="Times New Roman"/>
          <w:lang w:eastAsia="it-IT"/>
        </w:rPr>
        <w:t xml:space="preserve">c) a scelta del soggetto passivo, per le unità vendute in Italia l’ammontare totale dei prezzi di vendita o il prezzo medio di vendita. </w:t>
      </w:r>
    </w:p>
    <w:p w:rsidR="00DE554B" w:rsidRPr="002279E2" w:rsidRDefault="00DE554B" w:rsidP="00DE554B">
      <w:pPr>
        <w:rPr>
          <w:rFonts w:eastAsia="Times New Roman" w:cs="Times New Roman"/>
          <w:lang w:eastAsia="it-IT"/>
        </w:rPr>
      </w:pPr>
      <w:r w:rsidRPr="002279E2">
        <w:rPr>
          <w:rFonts w:eastAsia="Times New Roman" w:cs="Times New Roman"/>
          <w:lang w:eastAsia="it-IT"/>
        </w:rPr>
        <w:t>2. Il primo invio di dati deve essere effettuato nel mese di luglio 2019.</w:t>
      </w:r>
    </w:p>
    <w:p w:rsidR="00DE554B" w:rsidRPr="002279E2" w:rsidRDefault="00DE554B" w:rsidP="00DE554B">
      <w:pPr>
        <w:rPr>
          <w:rFonts w:eastAsia="Times New Roman" w:cs="Times New Roman"/>
          <w:lang w:eastAsia="it-IT"/>
        </w:rPr>
      </w:pPr>
      <w:r w:rsidRPr="002279E2">
        <w:rPr>
          <w:rFonts w:eastAsia="Times New Roman" w:cs="Times New Roman"/>
          <w:lang w:eastAsia="it-IT"/>
        </w:rPr>
        <w:t xml:space="preserve">3. Il soggetto passivo di cui al comma 1 è considerato debitore d’imposta per le vendite a distanza per le quali non ha trasmesso, o ha trasmesso in modo incompleto, i dati di cui al comma 1, presenti sulla piattaforma, se non dimostra che l’imposta è stata assolta dal fornitore.  </w:t>
      </w:r>
    </w:p>
    <w:p w:rsidR="00DE554B" w:rsidRPr="002279E2" w:rsidRDefault="00DE554B" w:rsidP="00DE554B">
      <w:pPr>
        <w:rPr>
          <w:rFonts w:eastAsia="Times New Roman" w:cs="Times New Roman"/>
          <w:color w:val="000000"/>
          <w:lang w:eastAsia="it-IT"/>
        </w:rPr>
      </w:pPr>
      <w:r w:rsidRPr="002279E2">
        <w:rPr>
          <w:rFonts w:eastAsia="Times New Roman" w:cs="Times New Roman"/>
          <w:color w:val="000000"/>
          <w:lang w:eastAsia="it-IT"/>
        </w:rPr>
        <w:t xml:space="preserve">4. Le disposizioni di cui all’articolo 11-bis, commi da 11 a 15, del decreto legge 14 dicembre 2018, n. 135, convertito nella legge </w:t>
      </w:r>
      <w:r w:rsidRPr="002279E2">
        <w:rPr>
          <w:rFonts w:eastAsia="Times New Roman" w:cs="Times New Roman"/>
          <w:iCs/>
          <w:color w:val="000000"/>
          <w:lang w:eastAsia="it-IT"/>
        </w:rPr>
        <w:t>11 febbraio 2019, n. 12</w:t>
      </w:r>
      <w:r w:rsidRPr="002279E2">
        <w:rPr>
          <w:rFonts w:eastAsia="Times New Roman" w:cs="Times New Roman"/>
          <w:color w:val="000000"/>
          <w:lang w:eastAsia="it-IT"/>
        </w:rPr>
        <w:t xml:space="preserve">, acquistano efficacia a decorrere dal primo gennaio 2021. Il soggetto passivo che ha facilitato tramite l'uso di un'interfaccia elettronica, quale un mercato virtuale, una piattaforma, un portale o mezzi analoghi,  le vendite a distanza di cui di cui all’articolo 11-bis, commi da 11 a 15, del decreto legge 14 dicembre 2018, n. 135, convertito nella legge </w:t>
      </w:r>
      <w:r w:rsidRPr="002279E2">
        <w:rPr>
          <w:rFonts w:eastAsia="Times New Roman" w:cs="Times New Roman"/>
          <w:iCs/>
          <w:color w:val="000000"/>
          <w:lang w:eastAsia="it-IT"/>
        </w:rPr>
        <w:t xml:space="preserve">11 febbraio 2019, n. 12, nel periodo compreso tra il  13 febbraio 2019 e la data di entrata in vigore delle disposizioni di cui ai commi precedenti, </w:t>
      </w:r>
      <w:r w:rsidRPr="002279E2">
        <w:rPr>
          <w:rFonts w:eastAsia="Times New Roman" w:cs="Times New Roman"/>
          <w:color w:val="000000"/>
          <w:lang w:eastAsia="it-IT"/>
        </w:rPr>
        <w:t xml:space="preserve">invia i dati relativi a dette operazioni nel mese di luglio 2019, secondo modalità che saranno determinate con il provvedimento dell’Agenzia delle entrate di cui al comma 1. </w:t>
      </w:r>
    </w:p>
    <w:p w:rsidR="00DE554B" w:rsidRPr="002279E2" w:rsidRDefault="00DE554B" w:rsidP="00DE554B">
      <w:pPr>
        <w:rPr>
          <w:rFonts w:eastAsia="Times New Roman" w:cs="Times New Roman"/>
          <w:color w:val="000000"/>
          <w:lang w:eastAsia="it-IT"/>
        </w:rPr>
      </w:pPr>
      <w:r w:rsidRPr="002279E2">
        <w:rPr>
          <w:rFonts w:eastAsia="Times New Roman" w:cs="Times New Roman"/>
          <w:color w:val="000000"/>
          <w:lang w:eastAsia="it-IT"/>
        </w:rPr>
        <w:t>5. Le disposizioni dei commi 1, 2 e 3 si applicano  fino al 31 dicembre 2020.</w:t>
      </w:r>
    </w:p>
    <w:p w:rsidR="00DE554B" w:rsidRPr="002279E2" w:rsidRDefault="00DE554B" w:rsidP="00DE554B">
      <w:pPr>
        <w:rPr>
          <w:rFonts w:eastAsia="Times New Roman" w:cs="Times New Roman"/>
          <w:strike/>
          <w:lang w:eastAsia="it-IT"/>
        </w:rPr>
      </w:pPr>
    </w:p>
    <w:p w:rsidR="00DE554B" w:rsidRPr="002279E2" w:rsidRDefault="00DE554B" w:rsidP="00DE554B">
      <w:pPr>
        <w:jc w:val="center"/>
        <w:rPr>
          <w:rFonts w:cs="Times New Roman"/>
          <w:b/>
        </w:rPr>
      </w:pPr>
      <w:r w:rsidRPr="002279E2">
        <w:rPr>
          <w:rFonts w:cs="Times New Roman"/>
          <w:b/>
        </w:rPr>
        <w:t>Relazione illustrativa</w:t>
      </w:r>
    </w:p>
    <w:p w:rsidR="00DE554B" w:rsidRPr="002279E2" w:rsidRDefault="00DE554B" w:rsidP="00DE554B">
      <w:pPr>
        <w:rPr>
          <w:rFonts w:eastAsia="Times New Roman" w:cs="Times New Roman"/>
          <w:lang w:eastAsia="it-IT"/>
        </w:rPr>
      </w:pPr>
      <w:r w:rsidRPr="002279E2">
        <w:rPr>
          <w:rFonts w:eastAsia="Times New Roman" w:cs="Times New Roman"/>
          <w:lang w:eastAsia="it-IT"/>
        </w:rPr>
        <w:t xml:space="preserve">La norma proposta è finalizzata a favorire la </w:t>
      </w:r>
      <w:r w:rsidRPr="002279E2">
        <w:rPr>
          <w:rFonts w:eastAsia="Times New Roman" w:cs="Times New Roman"/>
          <w:i/>
          <w:lang w:eastAsia="it-IT"/>
        </w:rPr>
        <w:t>compliance</w:t>
      </w:r>
      <w:r w:rsidR="00505DC8" w:rsidRPr="002279E2">
        <w:rPr>
          <w:rFonts w:eastAsia="Times New Roman" w:cs="Times New Roman"/>
          <w:lang w:eastAsia="it-IT"/>
        </w:rPr>
        <w:t xml:space="preserve"> in materia di IVA </w:t>
      </w:r>
      <w:r w:rsidRPr="002279E2">
        <w:rPr>
          <w:rFonts w:eastAsia="Times New Roman" w:cs="Times New Roman"/>
          <w:lang w:eastAsia="it-IT"/>
        </w:rPr>
        <w:t xml:space="preserve">sulle vendite a distanza di beni effettuate tramite piattaforme elettroniche, con modalità diverse da quelle previste dall’articolo 11-bis, commi da 11 a 15, del decreto legge 14 dicembre 2018, n. 135, convertito dalla legge 11 febbraio 2019, n. 12. Quest’ultima disposizione, anticipando in modo parziale il recepimento dell’articolo 2 della direttiva (UE) 2017/2455 del Consiglio del 5 dicembre 2017 - che  modifica la direttiva 2006/112/CE  per quanto riguarda taluni obblighi  in materia di imposta sul valore aggiunto per le prestazioni di servizi e le vendite a distanza di beni, previsto per il 2021-  attribuisce, ai fini IVA, alle piattaforme digitali che facilitano determinate vendite a distanza di telefoni cellulari, tablet, computer e laptop, il ruolo di soggetti che comprano e rivendono i beni al consumatore finale. </w:t>
      </w:r>
    </w:p>
    <w:p w:rsidR="00DE554B" w:rsidRPr="002279E2" w:rsidRDefault="00DE554B" w:rsidP="00DE554B">
      <w:pPr>
        <w:rPr>
          <w:rFonts w:eastAsia="Times New Roman" w:cs="Times New Roman"/>
          <w:lang w:eastAsia="it-IT"/>
        </w:rPr>
      </w:pPr>
      <w:r w:rsidRPr="002279E2">
        <w:rPr>
          <w:rFonts w:eastAsia="Times New Roman" w:cs="Times New Roman"/>
          <w:lang w:eastAsia="it-IT"/>
        </w:rPr>
        <w:t xml:space="preserve">In considerazione della necessità di procedere al completo recepimento della direttiva 2017/2245, l'efficacia delle   previsioni di cui al citato articolo 11-bis, che attribuiscono alle piattaforme digitali il ruolo di soggetti passivi d’imposta per le vendite a distanza che esse contribuiscono a facilitare, è differita al 1°gennaio 2021.  </w:t>
      </w:r>
    </w:p>
    <w:p w:rsidR="00DE554B" w:rsidRPr="002279E2" w:rsidRDefault="00DE554B" w:rsidP="00DE554B">
      <w:pPr>
        <w:rPr>
          <w:rFonts w:eastAsia="Times New Roman" w:cs="Times New Roman"/>
          <w:lang w:eastAsia="it-IT"/>
        </w:rPr>
      </w:pPr>
      <w:r w:rsidRPr="002279E2">
        <w:rPr>
          <w:rFonts w:eastAsia="Times New Roman" w:cs="Times New Roman"/>
          <w:lang w:eastAsia="it-IT"/>
        </w:rPr>
        <w:t>Ritenendo tuttavia utile, nelle more del completo recepimento delle citate disposizioni unionali, avvalersi della collaborazione delle piattaforme digitali per far emergere la base imponibile IVA delle vendite a distanza che le piattaforme stesse contribuiscono a facilitare, anche per beni diversi da cellulari, tablet, computer e laptop, la norma proposta pone a carico di dette piattaforme obblighi di natura informativa.</w:t>
      </w:r>
    </w:p>
    <w:p w:rsidR="00DE554B" w:rsidRPr="002279E2" w:rsidRDefault="00DE554B" w:rsidP="00DE554B">
      <w:pPr>
        <w:rPr>
          <w:rFonts w:eastAsia="Times New Roman" w:cs="Times New Roman"/>
          <w:lang w:eastAsia="it-IT"/>
        </w:rPr>
      </w:pPr>
      <w:r w:rsidRPr="002279E2">
        <w:rPr>
          <w:rFonts w:eastAsia="Times New Roman" w:cs="Times New Roman"/>
          <w:strike/>
          <w:lang w:eastAsia="it-IT"/>
        </w:rPr>
        <w:t>l</w:t>
      </w:r>
      <w:r w:rsidRPr="002279E2">
        <w:rPr>
          <w:rFonts w:eastAsia="Times New Roman" w:cs="Times New Roman"/>
          <w:lang w:eastAsia="it-IT"/>
        </w:rPr>
        <w:t xml:space="preserve"> In particolare, il comma 1dispone</w:t>
      </w:r>
      <w:r w:rsidR="001C0EFC" w:rsidRPr="002279E2">
        <w:rPr>
          <w:rFonts w:eastAsia="Times New Roman" w:cs="Times New Roman"/>
          <w:strike/>
          <w:lang w:eastAsia="it-IT"/>
        </w:rPr>
        <w:t xml:space="preserve"> </w:t>
      </w:r>
      <w:r w:rsidRPr="002279E2">
        <w:rPr>
          <w:rFonts w:eastAsia="Times New Roman" w:cs="Times New Roman"/>
          <w:lang w:eastAsia="it-IT"/>
        </w:rPr>
        <w:t>che il  soggetto passivo che facilita, tramite l'uso di un'interfaccia elettronica, le vendite a distanza è tenuto a trasmettere all'Agenzia delle entrate, per ciascun fornitore,  la denominazione, la residenza o il domicilio, l'indirizzo di posta elettronica,  il numero totale delle unità vendute  in Italia e il valore delle vendite espresso, a scelta dello stesso soggetto passivo, in termini di ammontare totale dei prezzi di vendita o di prezzo medio di vendita. L’obbligo informativo è richiesto in via sistematica con cadenza trimestrale secondo modalità che saranno stabilite con provvedimento del direttore dell’Agenzia delle entrate. La accezione di vendite a distanza comprende sia beni importati sia i beni che sono all’interno dell’Unione europea.</w:t>
      </w:r>
    </w:p>
    <w:p w:rsidR="00DE554B" w:rsidRPr="002279E2" w:rsidRDefault="00DE554B" w:rsidP="00DE554B">
      <w:pPr>
        <w:rPr>
          <w:rFonts w:eastAsia="Times New Roman" w:cs="Times New Roman"/>
          <w:lang w:eastAsia="it-IT"/>
        </w:rPr>
      </w:pPr>
      <w:r w:rsidRPr="002279E2">
        <w:rPr>
          <w:rFonts w:eastAsia="Times New Roman" w:cs="Times New Roman"/>
          <w:lang w:eastAsia="it-IT"/>
        </w:rPr>
        <w:t xml:space="preserve">Il comma 2, dispone che il primo invio dei dati deve essere effettuato </w:t>
      </w:r>
      <w:r w:rsidRPr="002279E2">
        <w:rPr>
          <w:rFonts w:cs="Times New Roman"/>
          <w:strike/>
        </w:rPr>
        <w:t>entro il</w:t>
      </w:r>
      <w:r w:rsidRPr="002279E2">
        <w:rPr>
          <w:rFonts w:eastAsia="Times New Roman" w:cs="Times New Roman"/>
          <w:lang w:eastAsia="it-IT"/>
        </w:rPr>
        <w:t xml:space="preserve"> nel mese di luglio.</w:t>
      </w:r>
    </w:p>
    <w:p w:rsidR="00DE554B" w:rsidRPr="002279E2" w:rsidRDefault="00505DC8" w:rsidP="00DE554B">
      <w:pPr>
        <w:rPr>
          <w:rFonts w:eastAsia="Times New Roman" w:cs="Times New Roman"/>
          <w:lang w:eastAsia="it-IT"/>
        </w:rPr>
      </w:pPr>
      <w:r w:rsidRPr="002279E2">
        <w:rPr>
          <w:rFonts w:eastAsia="Times New Roman" w:cs="Times New Roman"/>
          <w:lang w:eastAsia="it-IT"/>
        </w:rPr>
        <w:lastRenderedPageBreak/>
        <w:t xml:space="preserve">Il comma 3 prevede che </w:t>
      </w:r>
      <w:r w:rsidR="00DE554B" w:rsidRPr="002279E2">
        <w:rPr>
          <w:rFonts w:eastAsia="Times New Roman" w:cs="Times New Roman"/>
          <w:lang w:eastAsia="it-IT"/>
        </w:rPr>
        <w:t>tale soggetto passivo sia responsabile dell’imposta dovuta sulle vendite a distanza per le quali non abbia trasmesso, o abbia trasmesso in modo incompleto, i dati richiesti presenti sulla piattaforma, qualora non dimostri che l’imposta è stata assolta dal fornitore.</w:t>
      </w:r>
    </w:p>
    <w:p w:rsidR="00DE554B" w:rsidRPr="002279E2" w:rsidRDefault="00DE554B" w:rsidP="00DE554B">
      <w:pPr>
        <w:rPr>
          <w:rFonts w:eastAsia="Times New Roman" w:cs="Times New Roman"/>
          <w:color w:val="000000"/>
          <w:lang w:eastAsia="it-IT"/>
        </w:rPr>
      </w:pPr>
      <w:r w:rsidRPr="002279E2">
        <w:rPr>
          <w:rFonts w:eastAsia="Times New Roman" w:cs="Times New Roman"/>
          <w:color w:val="000000"/>
          <w:lang w:eastAsia="it-IT"/>
        </w:rPr>
        <w:t xml:space="preserve">Il comma 4 differisce l’efficacia delle disposizioni di cui all’articolo 11-bis, commi da 11 a 15, del decreto legge 14 dicembre 2018, n. 135, al 1 gennaio 2021. Per le vendite a distanza di telefoni cellulari, console da gioco, tablet PC e laptop, indicate dal citato articolo 11-bis ed effettuate nel periodo compreso tra la data di entrata in vigore della legge 11 </w:t>
      </w:r>
      <w:r w:rsidRPr="002279E2">
        <w:rPr>
          <w:rFonts w:eastAsia="Times New Roman" w:cs="Times New Roman"/>
          <w:iCs/>
          <w:color w:val="000000"/>
          <w:lang w:eastAsia="it-IT"/>
        </w:rPr>
        <w:t xml:space="preserve">febbraio 2019, n. 12 </w:t>
      </w:r>
      <w:r w:rsidRPr="002279E2">
        <w:rPr>
          <w:rFonts w:eastAsia="Times New Roman" w:cs="Times New Roman"/>
          <w:color w:val="000000"/>
          <w:lang w:eastAsia="it-IT"/>
        </w:rPr>
        <w:t xml:space="preserve">e la data </w:t>
      </w:r>
      <w:r w:rsidRPr="002279E2">
        <w:rPr>
          <w:rFonts w:eastAsia="Times New Roman" w:cs="Times New Roman"/>
          <w:iCs/>
          <w:color w:val="000000"/>
          <w:lang w:eastAsia="it-IT"/>
        </w:rPr>
        <w:t>di entrata in vigore della presente disposizione, le piattaforme sono tenute all’invio dei relativi dati nel mese di luglio 2019, secondo modalità indicate dal Provvedimento dell’Agenzia delle entrate</w:t>
      </w:r>
      <w:r w:rsidRPr="002279E2">
        <w:rPr>
          <w:rFonts w:eastAsia="Times New Roman" w:cs="Times New Roman"/>
          <w:color w:val="000000"/>
          <w:lang w:eastAsia="it-IT"/>
        </w:rPr>
        <w:t>.</w:t>
      </w:r>
    </w:p>
    <w:p w:rsidR="00DE554B" w:rsidRPr="002279E2" w:rsidRDefault="00DE554B" w:rsidP="00DE554B">
      <w:pPr>
        <w:rPr>
          <w:rFonts w:eastAsia="Times New Roman" w:cs="Times New Roman"/>
          <w:color w:val="000000"/>
          <w:lang w:eastAsia="it-IT"/>
        </w:rPr>
      </w:pPr>
      <w:r w:rsidRPr="002279E2">
        <w:rPr>
          <w:rFonts w:eastAsia="Times New Roman" w:cs="Times New Roman"/>
          <w:color w:val="000000"/>
          <w:lang w:eastAsia="it-IT"/>
        </w:rPr>
        <w:t>Il comma 5, prevede che le disposizioni in esame si applicano fino al 31 dicembre 2020.</w:t>
      </w:r>
    </w:p>
    <w:p w:rsidR="00DE554B" w:rsidRPr="002279E2" w:rsidRDefault="00DE554B" w:rsidP="00DE554B">
      <w:pPr>
        <w:rPr>
          <w:rFonts w:eastAsia="Times New Roman" w:cs="Times New Roman"/>
          <w:strike/>
          <w:lang w:eastAsia="it-IT"/>
        </w:rPr>
      </w:pPr>
    </w:p>
    <w:p w:rsidR="00DE554B" w:rsidRPr="002279E2" w:rsidRDefault="00DE554B" w:rsidP="00DE554B">
      <w:pPr>
        <w:jc w:val="center"/>
        <w:rPr>
          <w:rFonts w:cs="Times New Roman"/>
          <w:b/>
        </w:rPr>
      </w:pPr>
      <w:r w:rsidRPr="002279E2">
        <w:rPr>
          <w:rFonts w:cs="Times New Roman"/>
          <w:b/>
        </w:rPr>
        <w:t>Relazione tecnica</w:t>
      </w:r>
    </w:p>
    <w:p w:rsidR="00DE554B" w:rsidRPr="002279E2" w:rsidRDefault="00DE554B" w:rsidP="00DE554B">
      <w:pPr>
        <w:rPr>
          <w:rFonts w:cs="Times New Roman"/>
        </w:rPr>
      </w:pPr>
      <w:r w:rsidRPr="002279E2">
        <w:rPr>
          <w:rFonts w:cs="Times New Roman"/>
        </w:rPr>
        <w:t xml:space="preserve">La </w:t>
      </w:r>
      <w:r w:rsidR="00753AA2" w:rsidRPr="002279E2">
        <w:rPr>
          <w:rFonts w:cs="Times New Roman"/>
        </w:rPr>
        <w:t xml:space="preserve">norma </w:t>
      </w:r>
      <w:r w:rsidRPr="002279E2">
        <w:rPr>
          <w:rFonts w:cs="Times New Roman"/>
        </w:rPr>
        <w:t>prevede, per gli anni 2019 e 2020, che i soggetti che gestiscono le piattaforme online trasmettano all'Agenzia delle entrate, entro il mese successivo a ciascun trimestre, i seguenti dati:</w:t>
      </w:r>
    </w:p>
    <w:p w:rsidR="00DE554B" w:rsidRPr="002279E2" w:rsidRDefault="00DE554B" w:rsidP="00DE554B">
      <w:pPr>
        <w:rPr>
          <w:rFonts w:cs="Times New Roman"/>
        </w:rPr>
      </w:pPr>
      <w:r w:rsidRPr="002279E2">
        <w:rPr>
          <w:rFonts w:cs="Times New Roman"/>
        </w:rPr>
        <w:t>a) la denominazione, la residenza o il domicilio, l’indirizzo di posta elettronica;</w:t>
      </w:r>
    </w:p>
    <w:p w:rsidR="00DE554B" w:rsidRPr="002279E2" w:rsidRDefault="00DE554B" w:rsidP="00DE554B">
      <w:pPr>
        <w:rPr>
          <w:rFonts w:cs="Times New Roman"/>
        </w:rPr>
      </w:pPr>
      <w:r w:rsidRPr="002279E2">
        <w:rPr>
          <w:rFonts w:cs="Times New Roman"/>
        </w:rPr>
        <w:t>b) il numero totale delle unità vendute in Italia;</w:t>
      </w:r>
    </w:p>
    <w:p w:rsidR="00DE554B" w:rsidRPr="002279E2" w:rsidRDefault="00DE554B" w:rsidP="00DE554B">
      <w:pPr>
        <w:rPr>
          <w:rFonts w:cs="Times New Roman"/>
        </w:rPr>
      </w:pPr>
      <w:r w:rsidRPr="002279E2">
        <w:rPr>
          <w:rFonts w:cs="Times New Roman"/>
        </w:rPr>
        <w:t xml:space="preserve">c) a scelta del contribuente, per le unità vendute in Italia, l’ammontare totale dei prezzi di vendita o il prezzo medio di vendita. </w:t>
      </w:r>
    </w:p>
    <w:p w:rsidR="00DE554B" w:rsidRPr="002279E2" w:rsidRDefault="00DE554B" w:rsidP="00DE554B">
      <w:pPr>
        <w:rPr>
          <w:rFonts w:cs="Times New Roman"/>
        </w:rPr>
      </w:pPr>
      <w:r w:rsidRPr="002279E2">
        <w:rPr>
          <w:rFonts w:cs="Times New Roman"/>
        </w:rPr>
        <w:t>Il soggetto passivo che gestisce la piattaforma online si considera debitore dell’imposta solo in relazione alle vendite per le quali non trasmetta tali dati presenti sulla piattaforma o qualora li trasmetta in modo incompleto, se non dimostra che l’imposta è stata assolta dal fornitore.</w:t>
      </w:r>
    </w:p>
    <w:p w:rsidR="00DE554B" w:rsidRPr="002279E2" w:rsidRDefault="00DE554B" w:rsidP="00DE554B">
      <w:pPr>
        <w:rPr>
          <w:rFonts w:cs="Times New Roman"/>
        </w:rPr>
      </w:pPr>
      <w:r w:rsidRPr="002279E2">
        <w:rPr>
          <w:rFonts w:cs="Times New Roman"/>
        </w:rPr>
        <w:t>La proposta modifica, per gli anni 2019 e 2020, la previsione della norma originaria, volta ad attribuire il ruolo di debitore d’imposta ai soggetti passivi che mettono a disposizione di venditori terzi la propria piattaforma elettronica per la vendita a distanza di telefoni cellulari, console da gioco, tablet PC e laptop, meno numerosi e fiscalmente più affidabili dei venditori terzi che si avvalgono delle piattaforme:</w:t>
      </w:r>
    </w:p>
    <w:p w:rsidR="00DE554B" w:rsidRPr="002279E2" w:rsidRDefault="00DE554B" w:rsidP="00DE554B">
      <w:pPr>
        <w:rPr>
          <w:rFonts w:cs="Times New Roman"/>
        </w:rPr>
      </w:pPr>
      <w:r w:rsidRPr="002279E2">
        <w:rPr>
          <w:rFonts w:eastAsia="Times New Roman" w:cs="Times New Roman"/>
          <w:lang w:eastAsia="it-IT"/>
        </w:rPr>
        <w:t>-</w:t>
      </w:r>
      <w:r w:rsidRPr="002279E2">
        <w:rPr>
          <w:rFonts w:cs="Times New Roman"/>
        </w:rPr>
        <w:t xml:space="preserve">sostituendo lo spostamento del debito d’imposta sulle piattaforme con la previsione dell’obbligo a carico delle piattaforme di trasmettere i dati relativi alle vendite a distanza; </w:t>
      </w:r>
    </w:p>
    <w:p w:rsidR="00DE554B" w:rsidRPr="002279E2" w:rsidRDefault="00DE554B" w:rsidP="00DE554B">
      <w:pPr>
        <w:rPr>
          <w:rFonts w:cs="Times New Roman"/>
        </w:rPr>
      </w:pPr>
      <w:r w:rsidRPr="002279E2">
        <w:rPr>
          <w:rFonts w:eastAsia="Times New Roman" w:cs="Times New Roman"/>
          <w:lang w:eastAsia="it-IT"/>
        </w:rPr>
        <w:t>-</w:t>
      </w:r>
      <w:r w:rsidRPr="002279E2">
        <w:rPr>
          <w:rFonts w:cs="Times New Roman"/>
        </w:rPr>
        <w:t>estendendo la portata applicativa della disposizione a tutte le vendite a distanze di beni e non soltanto a telefoni cellulari, console da gioco, tablet PC e laptop.</w:t>
      </w:r>
    </w:p>
    <w:p w:rsidR="00DE554B" w:rsidRPr="002279E2" w:rsidRDefault="00DE554B" w:rsidP="00DE554B">
      <w:pPr>
        <w:rPr>
          <w:rFonts w:cs="Times New Roman"/>
        </w:rPr>
      </w:pPr>
      <w:r w:rsidRPr="002279E2">
        <w:rPr>
          <w:rFonts w:cs="Times New Roman"/>
        </w:rPr>
        <w:t>Ai fini della quantificazione degli effetti finanziari:</w:t>
      </w:r>
    </w:p>
    <w:p w:rsidR="00DE554B" w:rsidRPr="002279E2" w:rsidRDefault="00DE554B" w:rsidP="00DE554B">
      <w:pPr>
        <w:rPr>
          <w:rFonts w:cs="Times New Roman"/>
        </w:rPr>
      </w:pPr>
      <w:r w:rsidRPr="002279E2">
        <w:rPr>
          <w:rFonts w:eastAsia="Times New Roman" w:cs="Times New Roman"/>
          <w:lang w:eastAsia="it-IT"/>
        </w:rPr>
        <w:t xml:space="preserve">- </w:t>
      </w:r>
      <w:r w:rsidRPr="002279E2">
        <w:rPr>
          <w:rFonts w:cs="Times New Roman"/>
        </w:rPr>
        <w:t>con riferimento alla vendita a distanza di telefoni cellulari, console da gioco, tablet PC e laptop, sulla base della metodologia utilizzata per stimare il recupero di gettito nella relazione tecnica di accompagnamento alla Legge di Bilancio 2018 con riferimento al contrasto alle frodi IVA derivante dall’introduzione della fatturazione elettronica obbligatoria, si stima che</w:t>
      </w:r>
      <w:r w:rsidRPr="002279E2">
        <w:rPr>
          <w:rFonts w:eastAsia="Times New Roman" w:cs="Times New Roman"/>
          <w:lang w:eastAsia="it-IT"/>
        </w:rPr>
        <w:t>,</w:t>
      </w:r>
      <w:r w:rsidRPr="002279E2">
        <w:rPr>
          <w:rFonts w:cs="Times New Roman"/>
        </w:rPr>
        <w:t xml:space="preserve"> a fronte di un gettito evaso su base annua di 86,1 milioni di euro, sia possibile recuperare il 16,67% del gettito evaso derivante da frodi IVA (14,4 milioni di euro su base annua);</w:t>
      </w:r>
    </w:p>
    <w:p w:rsidR="00DE554B" w:rsidRPr="002279E2" w:rsidRDefault="00DE554B" w:rsidP="00DE554B">
      <w:pPr>
        <w:rPr>
          <w:rFonts w:cs="Times New Roman"/>
        </w:rPr>
      </w:pPr>
      <w:r w:rsidRPr="002279E2">
        <w:rPr>
          <w:rFonts w:eastAsia="Times New Roman" w:cs="Times New Roman"/>
          <w:lang w:eastAsia="it-IT"/>
        </w:rPr>
        <w:t>-</w:t>
      </w:r>
      <w:r w:rsidRPr="002279E2">
        <w:rPr>
          <w:rFonts w:cs="Times New Roman"/>
        </w:rPr>
        <w:t>con riferimento alla vendita a distanza di altri beni</w:t>
      </w:r>
      <w:r w:rsidRPr="002279E2">
        <w:rPr>
          <w:rFonts w:eastAsia="Times New Roman" w:cs="Times New Roman"/>
          <w:lang w:eastAsia="it-IT"/>
        </w:rPr>
        <w:t xml:space="preserve"> (</w:t>
      </w:r>
      <w:r w:rsidRPr="002279E2">
        <w:rPr>
          <w:rFonts w:cs="Times New Roman"/>
        </w:rPr>
        <w:t>per un complessivo volume d’affari pari a 14</w:t>
      </w:r>
      <w:r w:rsidRPr="002279E2">
        <w:rPr>
          <w:rFonts w:eastAsia="Times New Roman" w:cs="Times New Roman"/>
          <w:lang w:eastAsia="it-IT"/>
        </w:rPr>
        <w:t>,</w:t>
      </w:r>
      <w:r w:rsidRPr="002279E2">
        <w:rPr>
          <w:rFonts w:cs="Times New Roman"/>
        </w:rPr>
        <w:t>1 miliardi di euro</w:t>
      </w:r>
      <w:r w:rsidRPr="002279E2">
        <w:rPr>
          <w:rFonts w:eastAsia="Times New Roman" w:cs="Times New Roman"/>
          <w:lang w:eastAsia="it-IT"/>
        </w:rPr>
        <w:t>),</w:t>
      </w:r>
      <w:r w:rsidRPr="002279E2">
        <w:rPr>
          <w:rFonts w:cs="Times New Roman"/>
        </w:rPr>
        <w:t xml:space="preserve"> ipotizzando un tasso di </w:t>
      </w:r>
      <w:r w:rsidRPr="002279E2">
        <w:rPr>
          <w:rFonts w:eastAsia="Times New Roman" w:cs="Times New Roman"/>
          <w:lang w:eastAsia="it-IT"/>
        </w:rPr>
        <w:t>“</w:t>
      </w:r>
      <w:r w:rsidRPr="002279E2">
        <w:rPr>
          <w:rFonts w:cs="Times New Roman"/>
        </w:rPr>
        <w:t>evasione senza consenso</w:t>
      </w:r>
      <w:r w:rsidRPr="002279E2">
        <w:rPr>
          <w:rFonts w:eastAsia="Times New Roman" w:cs="Times New Roman"/>
          <w:lang w:eastAsia="it-IT"/>
        </w:rPr>
        <w:t>”</w:t>
      </w:r>
      <w:r w:rsidR="00604FDB" w:rsidRPr="002279E2">
        <w:rPr>
          <w:rFonts w:cs="Times New Roman"/>
        </w:rPr>
        <w:t xml:space="preserve"> pari all’11,85%, </w:t>
      </w:r>
      <w:r w:rsidRPr="002279E2">
        <w:rPr>
          <w:rFonts w:cs="Times New Roman"/>
        </w:rPr>
        <w:t xml:space="preserve">circa il 50% del tasso di economia sommersa stimato da Istat per il settore del commercio </w:t>
      </w:r>
      <w:r w:rsidRPr="002279E2">
        <w:rPr>
          <w:rFonts w:eastAsia="Times New Roman" w:cs="Times New Roman"/>
          <w:lang w:eastAsia="it-IT"/>
        </w:rPr>
        <w:t>(</w:t>
      </w:r>
      <w:r w:rsidRPr="002279E2">
        <w:rPr>
          <w:rFonts w:cs="Times New Roman"/>
        </w:rPr>
        <w:t>pari al 23,7</w:t>
      </w:r>
      <w:r w:rsidRPr="002279E2">
        <w:rPr>
          <w:rFonts w:eastAsia="Times New Roman" w:cs="Times New Roman"/>
          <w:lang w:eastAsia="it-IT"/>
        </w:rPr>
        <w:t>%),</w:t>
      </w:r>
      <w:r w:rsidRPr="002279E2">
        <w:rPr>
          <w:rFonts w:cs="Times New Roman"/>
        </w:rPr>
        <w:t xml:space="preserve"> si stima che la base imponibile evasa sia pari a 1</w:t>
      </w:r>
      <w:r w:rsidRPr="002279E2">
        <w:rPr>
          <w:rFonts w:eastAsia="Times New Roman" w:cs="Times New Roman"/>
          <w:lang w:eastAsia="it-IT"/>
        </w:rPr>
        <w:t>,</w:t>
      </w:r>
      <w:r w:rsidRPr="002279E2">
        <w:rPr>
          <w:rFonts w:cs="Times New Roman"/>
        </w:rPr>
        <w:t>7 miliardi di euro, cui corrisponde, all’aliquota ordinaria IVA del 22%, un gettito evaso su base annua pari a 367,6 milioni di euro. Sulla base della metodologia utilizzata per stimare il recupero di gettito nella relazione tecnica di accompagnamento al Dl 193/2016 con riferimento all’introduzione delle comunicazioni trimestrali delle fatture emesse e ricevute (spesometro), si stima un recupero di gettito pari al 12% del gettito evaso (44,1 milioni di euro su base annua).</w:t>
      </w:r>
    </w:p>
    <w:p w:rsidR="00DE554B" w:rsidRPr="002279E2" w:rsidRDefault="00DE554B" w:rsidP="00DE554B">
      <w:pPr>
        <w:rPr>
          <w:rFonts w:cs="Times New Roman"/>
        </w:rPr>
      </w:pPr>
      <w:r w:rsidRPr="002279E2">
        <w:rPr>
          <w:rFonts w:cs="Times New Roman"/>
        </w:rPr>
        <w:t>La proposta emendativa comporta, quindi, complessivamente, un recupero di gettito pari a 58,5 milioni di euro su base annua. Per l’anno 2019, posto che il primo invio di dati deve essere effettuato</w:t>
      </w:r>
      <w:r w:rsidR="00753AA2" w:rsidRPr="002279E2">
        <w:rPr>
          <w:rFonts w:cs="Times New Roman"/>
        </w:rPr>
        <w:t xml:space="preserve"> n</w:t>
      </w:r>
      <w:r w:rsidRPr="002279E2">
        <w:rPr>
          <w:rFonts w:cs="Times New Roman"/>
        </w:rPr>
        <w:t xml:space="preserve">el mese di luglio 2019, si stima che il recupero di gettito sia ottenibile solo </w:t>
      </w:r>
      <w:r w:rsidRPr="002279E2">
        <w:rPr>
          <w:rFonts w:eastAsia="Times New Roman" w:cs="Times New Roman"/>
          <w:lang w:eastAsia="it-IT"/>
        </w:rPr>
        <w:t>con</w:t>
      </w:r>
      <w:r w:rsidRPr="002279E2">
        <w:rPr>
          <w:rFonts w:cs="Times New Roman"/>
        </w:rPr>
        <w:t xml:space="preserve"> riferimento alle operazioni relative al secondo, terzo e ultimo trimestre dell’anno. Conseguentemente, per l’anno 2019, si stima un recupero di gettito pari a 43,9 milioni di euro.</w:t>
      </w:r>
    </w:p>
    <w:p w:rsidR="00DE554B" w:rsidRPr="002279E2" w:rsidRDefault="00DE554B" w:rsidP="00DE554B">
      <w:pPr>
        <w:rPr>
          <w:rFonts w:cs="Times New Roman"/>
        </w:rPr>
      </w:pPr>
      <w:r w:rsidRPr="002279E2">
        <w:rPr>
          <w:rFonts w:cs="Times New Roman"/>
        </w:rPr>
        <w:t>Nella tabella che segue sono riepilogati gli effetti finanziari della proposta emendativa rispetto alla legislazione vigente.</w:t>
      </w:r>
    </w:p>
    <w:p w:rsidR="00DE554B" w:rsidRPr="002279E2" w:rsidRDefault="00DE554B" w:rsidP="00DE554B">
      <w:pPr>
        <w:rPr>
          <w:rFonts w:eastAsia="Times New Roman" w:cs="Times New Roman"/>
          <w:lang w:eastAsia="it-IT"/>
        </w:rPr>
      </w:pPr>
      <w:r w:rsidRPr="002279E2">
        <w:rPr>
          <w:rFonts w:eastAsia="Times New Roman" w:cs="Times New Roman"/>
          <w:lang w:eastAsia="it-IT"/>
        </w:rPr>
        <w:t> </w:t>
      </w:r>
    </w:p>
    <w:tbl>
      <w:tblPr>
        <w:tblStyle w:val="TableNormal1"/>
        <w:tblW w:w="81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0"/>
        <w:gridCol w:w="1773"/>
        <w:gridCol w:w="1742"/>
      </w:tblGrid>
      <w:tr w:rsidR="00DE554B" w:rsidRPr="002279E2" w:rsidTr="00DE554B">
        <w:trPr>
          <w:trHeight w:val="310"/>
        </w:trPr>
        <w:tc>
          <w:tcPr>
            <w:tcW w:w="459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DE554B" w:rsidRPr="002279E2" w:rsidRDefault="00DE554B" w:rsidP="00DE554B">
            <w:pPr>
              <w:rPr>
                <w:color w:val="000000"/>
                <w:sz w:val="22"/>
                <w:szCs w:val="22"/>
                <w:bdr w:val="none" w:sz="0" w:space="0" w:color="auto" w:frame="1"/>
              </w:rPr>
            </w:pPr>
            <w:r w:rsidRPr="002279E2">
              <w:rPr>
                <w:color w:val="000000"/>
                <w:sz w:val="22"/>
                <w:szCs w:val="22"/>
                <w:bdr w:val="none" w:sz="0" w:space="0" w:color="auto" w:frame="1"/>
              </w:rPr>
              <w:t>milioni di euro</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DE554B" w:rsidRPr="002279E2" w:rsidRDefault="00DE554B" w:rsidP="00DE554B">
            <w:pPr>
              <w:jc w:val="center"/>
              <w:rPr>
                <w:color w:val="000000"/>
                <w:sz w:val="22"/>
                <w:szCs w:val="22"/>
                <w:bdr w:val="none" w:sz="0" w:space="0" w:color="auto" w:frame="1"/>
              </w:rPr>
            </w:pPr>
            <w:r w:rsidRPr="002279E2">
              <w:rPr>
                <w:b/>
                <w:bCs/>
                <w:color w:val="000000"/>
                <w:sz w:val="22"/>
                <w:szCs w:val="22"/>
                <w:bdr w:val="none" w:sz="0" w:space="0" w:color="auto" w:frame="1"/>
              </w:rPr>
              <w:t>2019</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DE554B" w:rsidRPr="002279E2" w:rsidRDefault="00DE554B" w:rsidP="00DE554B">
            <w:pPr>
              <w:jc w:val="center"/>
              <w:rPr>
                <w:color w:val="000000"/>
                <w:sz w:val="22"/>
                <w:szCs w:val="22"/>
                <w:bdr w:val="none" w:sz="0" w:space="0" w:color="auto" w:frame="1"/>
              </w:rPr>
            </w:pPr>
            <w:r w:rsidRPr="002279E2">
              <w:rPr>
                <w:b/>
                <w:bCs/>
                <w:color w:val="000000"/>
                <w:sz w:val="22"/>
                <w:szCs w:val="22"/>
                <w:bdr w:val="none" w:sz="0" w:space="0" w:color="auto" w:frame="1"/>
              </w:rPr>
              <w:t>2020</w:t>
            </w:r>
          </w:p>
        </w:tc>
      </w:tr>
      <w:tr w:rsidR="00DE554B" w:rsidRPr="002279E2" w:rsidTr="00DE554B">
        <w:trPr>
          <w:trHeight w:val="310"/>
        </w:trPr>
        <w:tc>
          <w:tcPr>
            <w:tcW w:w="459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DE554B" w:rsidRPr="002279E2" w:rsidRDefault="00DE554B" w:rsidP="00DE554B">
            <w:pPr>
              <w:rPr>
                <w:color w:val="000000"/>
                <w:sz w:val="22"/>
                <w:szCs w:val="22"/>
                <w:bdr w:val="none" w:sz="0" w:space="0" w:color="auto" w:frame="1"/>
              </w:rPr>
            </w:pPr>
            <w:r w:rsidRPr="002279E2">
              <w:rPr>
                <w:color w:val="000000"/>
                <w:sz w:val="22"/>
                <w:szCs w:val="22"/>
                <w:bdr w:val="none" w:sz="0" w:space="0" w:color="auto" w:frame="1"/>
              </w:rPr>
              <w:t>Norma originaria</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DE554B" w:rsidRPr="002279E2" w:rsidRDefault="00DE554B" w:rsidP="00DE554B">
            <w:pPr>
              <w:jc w:val="center"/>
              <w:rPr>
                <w:color w:val="000000"/>
                <w:sz w:val="22"/>
                <w:szCs w:val="22"/>
                <w:bdr w:val="none" w:sz="0" w:space="0" w:color="auto" w:frame="1"/>
              </w:rPr>
            </w:pPr>
            <w:r w:rsidRPr="002279E2">
              <w:rPr>
                <w:color w:val="000000"/>
                <w:sz w:val="22"/>
                <w:szCs w:val="22"/>
                <w:bdr w:val="none" w:sz="0" w:space="0" w:color="auto" w:frame="1"/>
              </w:rPr>
              <w:t>71,8</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DE554B" w:rsidRPr="002279E2" w:rsidRDefault="00DE554B" w:rsidP="00DE554B">
            <w:pPr>
              <w:jc w:val="center"/>
              <w:rPr>
                <w:color w:val="000000"/>
                <w:sz w:val="22"/>
                <w:szCs w:val="22"/>
                <w:bdr w:val="none" w:sz="0" w:space="0" w:color="auto" w:frame="1"/>
              </w:rPr>
            </w:pPr>
            <w:r w:rsidRPr="002279E2">
              <w:rPr>
                <w:color w:val="000000"/>
                <w:sz w:val="22"/>
                <w:szCs w:val="22"/>
                <w:bdr w:val="none" w:sz="0" w:space="0" w:color="auto" w:frame="1"/>
              </w:rPr>
              <w:t>86,1</w:t>
            </w:r>
          </w:p>
        </w:tc>
      </w:tr>
      <w:tr w:rsidR="00DE554B" w:rsidRPr="002279E2" w:rsidTr="00DE554B">
        <w:trPr>
          <w:trHeight w:val="310"/>
        </w:trPr>
        <w:tc>
          <w:tcPr>
            <w:tcW w:w="459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DE554B" w:rsidRPr="002279E2" w:rsidRDefault="00DE554B" w:rsidP="00DE554B">
            <w:pPr>
              <w:rPr>
                <w:color w:val="000000"/>
                <w:sz w:val="22"/>
                <w:szCs w:val="22"/>
                <w:bdr w:val="none" w:sz="0" w:space="0" w:color="auto" w:frame="1"/>
              </w:rPr>
            </w:pPr>
            <w:r w:rsidRPr="002279E2">
              <w:rPr>
                <w:color w:val="000000"/>
                <w:sz w:val="22"/>
                <w:szCs w:val="22"/>
                <w:bdr w:val="none" w:sz="0" w:space="0" w:color="auto" w:frame="1"/>
              </w:rPr>
              <w:lastRenderedPageBreak/>
              <w:t>Proposta emendativa</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DE554B" w:rsidRPr="002279E2" w:rsidRDefault="00DE554B" w:rsidP="00DE554B">
            <w:pPr>
              <w:jc w:val="center"/>
              <w:rPr>
                <w:color w:val="000000"/>
                <w:sz w:val="22"/>
                <w:szCs w:val="22"/>
                <w:bdr w:val="none" w:sz="0" w:space="0" w:color="auto" w:frame="1"/>
              </w:rPr>
            </w:pPr>
            <w:r w:rsidRPr="002279E2">
              <w:rPr>
                <w:color w:val="000000"/>
                <w:sz w:val="22"/>
                <w:szCs w:val="22"/>
                <w:bdr w:val="none" w:sz="0" w:space="0" w:color="auto" w:frame="1"/>
              </w:rPr>
              <w:t>43,9</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DE554B" w:rsidRPr="002279E2" w:rsidRDefault="00DE554B" w:rsidP="00DE554B">
            <w:pPr>
              <w:jc w:val="center"/>
              <w:rPr>
                <w:color w:val="000000"/>
                <w:sz w:val="22"/>
                <w:szCs w:val="22"/>
                <w:bdr w:val="none" w:sz="0" w:space="0" w:color="auto" w:frame="1"/>
              </w:rPr>
            </w:pPr>
            <w:r w:rsidRPr="002279E2">
              <w:rPr>
                <w:color w:val="000000"/>
                <w:sz w:val="22"/>
                <w:szCs w:val="22"/>
                <w:bdr w:val="none" w:sz="0" w:space="0" w:color="auto" w:frame="1"/>
              </w:rPr>
              <w:t>58,5</w:t>
            </w:r>
          </w:p>
        </w:tc>
      </w:tr>
      <w:tr w:rsidR="00DE554B" w:rsidRPr="002279E2" w:rsidTr="00DE554B">
        <w:trPr>
          <w:trHeight w:val="310"/>
        </w:trPr>
        <w:tc>
          <w:tcPr>
            <w:tcW w:w="459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DE554B" w:rsidRPr="002279E2" w:rsidRDefault="00DE554B" w:rsidP="00DE554B">
            <w:pPr>
              <w:rPr>
                <w:color w:val="000000"/>
                <w:sz w:val="22"/>
                <w:szCs w:val="22"/>
                <w:bdr w:val="none" w:sz="0" w:space="0" w:color="auto" w:frame="1"/>
              </w:rPr>
            </w:pPr>
            <w:r w:rsidRPr="002279E2">
              <w:rPr>
                <w:b/>
                <w:bCs/>
                <w:color w:val="000000"/>
                <w:sz w:val="22"/>
                <w:szCs w:val="22"/>
                <w:bdr w:val="none" w:sz="0" w:space="0" w:color="auto" w:frame="1"/>
              </w:rPr>
              <w:t>Differenza</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DE554B" w:rsidRPr="002279E2" w:rsidRDefault="00DE554B" w:rsidP="00DE554B">
            <w:pPr>
              <w:jc w:val="center"/>
              <w:rPr>
                <w:color w:val="000000"/>
                <w:sz w:val="22"/>
                <w:szCs w:val="22"/>
                <w:bdr w:val="none" w:sz="0" w:space="0" w:color="auto" w:frame="1"/>
              </w:rPr>
            </w:pPr>
            <w:r w:rsidRPr="002279E2">
              <w:rPr>
                <w:b/>
                <w:bCs/>
                <w:color w:val="000000"/>
                <w:sz w:val="22"/>
                <w:szCs w:val="22"/>
                <w:bdr w:val="none" w:sz="0" w:space="0" w:color="auto" w:frame="1"/>
              </w:rPr>
              <w:t>-27,9</w:t>
            </w:r>
          </w:p>
        </w:tc>
        <w:tc>
          <w:tcPr>
            <w:tcW w:w="17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DE554B" w:rsidRPr="002279E2" w:rsidRDefault="00DE554B" w:rsidP="00DE554B">
            <w:pPr>
              <w:jc w:val="center"/>
              <w:rPr>
                <w:color w:val="000000"/>
                <w:sz w:val="22"/>
                <w:szCs w:val="22"/>
                <w:bdr w:val="none" w:sz="0" w:space="0" w:color="auto" w:frame="1"/>
              </w:rPr>
            </w:pPr>
            <w:r w:rsidRPr="002279E2">
              <w:rPr>
                <w:b/>
                <w:bCs/>
                <w:color w:val="000000"/>
                <w:sz w:val="22"/>
                <w:szCs w:val="22"/>
                <w:bdr w:val="none" w:sz="0" w:space="0" w:color="auto" w:frame="1"/>
              </w:rPr>
              <w:t>-27,6</w:t>
            </w:r>
          </w:p>
        </w:tc>
      </w:tr>
    </w:tbl>
    <w:p w:rsidR="00DE554B" w:rsidRPr="002279E2" w:rsidRDefault="00DE554B" w:rsidP="00DE554B">
      <w:pPr>
        <w:shd w:val="clear" w:color="auto" w:fill="FFFFFF"/>
        <w:rPr>
          <w:rFonts w:eastAsia="Times New Roman" w:cs="Times New Roman"/>
          <w:i/>
          <w:color w:val="333333"/>
          <w:lang w:eastAsia="it-IT"/>
        </w:rPr>
      </w:pPr>
      <w:r w:rsidRPr="002279E2">
        <w:rPr>
          <w:rFonts w:cs="Times New Roman"/>
          <w:i/>
          <w:color w:val="000000"/>
          <w:bdr w:val="none" w:sz="0" w:space="0" w:color="auto" w:frame="1"/>
        </w:rPr>
        <w:t>milioni di euro</w:t>
      </w:r>
    </w:p>
    <w:p w:rsidR="00993061" w:rsidRPr="002279E2" w:rsidRDefault="00993061" w:rsidP="008448CF">
      <w:pPr>
        <w:rPr>
          <w:rFonts w:cs="Times New Roman"/>
        </w:rPr>
      </w:pPr>
      <w:bookmarkStart w:id="34" w:name="_Toc4423350"/>
    </w:p>
    <w:p w:rsidR="008448CF" w:rsidRPr="002279E2" w:rsidRDefault="007E4FDC" w:rsidP="008448CF">
      <w:pPr>
        <w:pStyle w:val="Titolo2"/>
      </w:pPr>
      <w:bookmarkStart w:id="35" w:name="_Toc6937342"/>
      <w:r w:rsidRPr="002279E2">
        <w:t>Articolo 14</w:t>
      </w:r>
      <w:r w:rsidRPr="002279E2">
        <w:br/>
        <w:t>(Enti Associativi Assistenziali)</w:t>
      </w:r>
      <w:bookmarkEnd w:id="34"/>
      <w:bookmarkEnd w:id="35"/>
    </w:p>
    <w:p w:rsidR="003667B2" w:rsidRPr="002279E2" w:rsidRDefault="003667B2" w:rsidP="003667B2">
      <w:pPr>
        <w:rPr>
          <w:color w:val="000000"/>
        </w:rPr>
      </w:pPr>
      <w:r w:rsidRPr="002279E2">
        <w:t>1. All’articolo 148, del testo unico delle imposte sui redditi, di cui al decreto del Presidente della Repubblica 22 dicembre 1986, n. 917, al comma 3, dopo la parola: « religiose, » sono aggiunte le seguenti: « assistenziali,».</w:t>
      </w:r>
    </w:p>
    <w:p w:rsidR="003667B2" w:rsidRPr="002279E2" w:rsidRDefault="003667B2" w:rsidP="003667B2"/>
    <w:p w:rsidR="003667B2" w:rsidRPr="002279E2" w:rsidRDefault="003667B2" w:rsidP="003667B2">
      <w:pPr>
        <w:pStyle w:val="Paragrafoelenco"/>
        <w:spacing w:after="0" w:line="240" w:lineRule="auto"/>
        <w:ind w:left="0"/>
        <w:jc w:val="center"/>
        <w:rPr>
          <w:rFonts w:ascii="Times New Roman" w:hAnsi="Times New Roman"/>
          <w:b/>
          <w:bCs/>
          <w:lang w:val="it-IT"/>
        </w:rPr>
      </w:pPr>
      <w:r w:rsidRPr="002279E2">
        <w:rPr>
          <w:rFonts w:ascii="Times New Roman" w:hAnsi="Times New Roman"/>
          <w:b/>
          <w:bCs/>
          <w:lang w:val="it-IT"/>
        </w:rPr>
        <w:t>Relazione illustrativa</w:t>
      </w:r>
    </w:p>
    <w:p w:rsidR="003667B2" w:rsidRPr="002279E2" w:rsidRDefault="003667B2" w:rsidP="003667B2">
      <w:pPr>
        <w:rPr>
          <w:color w:val="212121"/>
        </w:rPr>
      </w:pPr>
      <w:r w:rsidRPr="002279E2">
        <w:t>La disposizione in esame ricomprende nel novero degli enti associativi di cui al comma 3 dell’art. 148 del TUIR, che fruiscono del regime della “decommercializzazione”, le associazioni con fini assistenziali.</w:t>
      </w:r>
    </w:p>
    <w:p w:rsidR="003667B2" w:rsidRPr="002279E2" w:rsidRDefault="003667B2" w:rsidP="003667B2">
      <w:pPr>
        <w:pStyle w:val="Paragrafoelenco"/>
        <w:spacing w:after="0" w:line="240" w:lineRule="auto"/>
        <w:ind w:left="0"/>
        <w:rPr>
          <w:rFonts w:ascii="Times New Roman" w:hAnsi="Times New Roman"/>
          <w:color w:val="000000"/>
          <w:lang w:val="it-IT"/>
        </w:rPr>
      </w:pPr>
    </w:p>
    <w:p w:rsidR="003667B2" w:rsidRPr="002279E2" w:rsidRDefault="003667B2" w:rsidP="003667B2">
      <w:pPr>
        <w:jc w:val="center"/>
        <w:rPr>
          <w:b/>
          <w:bCs/>
          <w:lang w:eastAsia="it-IT"/>
        </w:rPr>
      </w:pPr>
      <w:r w:rsidRPr="002279E2">
        <w:rPr>
          <w:b/>
          <w:bCs/>
          <w:lang w:eastAsia="it-IT"/>
        </w:rPr>
        <w:t>Relazione tecnica</w:t>
      </w:r>
    </w:p>
    <w:p w:rsidR="003667B2" w:rsidRPr="002279E2" w:rsidRDefault="003667B2" w:rsidP="003667B2">
      <w:r w:rsidRPr="002279E2">
        <w:t>Sotto il profilo finanziario, la misura non comporta variazioni di gettito in considerazione della circostanza che ripristina la legislazione previgente all’entrata in vigore del decreto legislativo n. 117/2017 e i soggetti interessati dalla modifica per l’anno 2017 non hanno sostanzialmente modificato i loro comportamenti in sede dichiarativa come si evince dall’elaborazione dei primi dati provvisori relativi alla stessa annualità, alla luce anche dell’interpretazione dell’Amministrazione finanziaria. L'Agenzia ha infatti precisato che, in forza della norma di interpretazione autentica di cui all'articolo 5-sexies del Dl 148/2017, l'articolo 148, comma 3, del Tuir, nella versione precedente, conserva efficacia fino a quando non inizieranno a essere applicabili le nuove disposizioni fiscali previste dal titolo X del Codice del Terzo settore. Anteriormente a tale termine, tutte le associazioni assistenziali, culturali, di promozione sociale e di formazione extra-scolastica della persona, ivi comprese quelle che non entreranno a far parte degli enti del Terzo settore, potranno continuare a fruire della decommercializzazione di cui all'articolo 148, comma 3, del Tuir, sempre che siano in possesso dei requisiti attualmente previsti. Dal momento in cui inizieranno a essere applicabili le nuove disposizioni fiscali non potranno più fruire della predetta decommercializzazione.</w:t>
      </w:r>
    </w:p>
    <w:p w:rsidR="00B439C6" w:rsidRPr="002279E2" w:rsidRDefault="00B439C6" w:rsidP="00612935">
      <w:pPr>
        <w:rPr>
          <w:rFonts w:cs="Times New Roman"/>
        </w:rPr>
      </w:pPr>
    </w:p>
    <w:p w:rsidR="00B439C6" w:rsidRPr="002279E2" w:rsidRDefault="00B439C6" w:rsidP="00B439C6">
      <w:pPr>
        <w:pStyle w:val="Titolo2"/>
        <w:rPr>
          <w:color w:val="auto"/>
        </w:rPr>
      </w:pPr>
      <w:bookmarkStart w:id="36" w:name="_Toc6937343"/>
      <w:r w:rsidRPr="002279E2">
        <w:t>Articolo 1</w:t>
      </w:r>
      <w:r w:rsidR="00B30DBD" w:rsidRPr="002279E2">
        <w:t>5</w:t>
      </w:r>
      <w:r w:rsidRPr="002279E2">
        <w:br/>
        <w:t>(</w:t>
      </w:r>
      <w:r w:rsidR="00214BDB" w:rsidRPr="002279E2">
        <w:t>Estensione della definizione agevolata delle entrate regionali e degli enti locali</w:t>
      </w:r>
      <w:r w:rsidRPr="002279E2">
        <w:t>)</w:t>
      </w:r>
      <w:bookmarkEnd w:id="36"/>
    </w:p>
    <w:p w:rsidR="00956BE9" w:rsidRPr="002279E2" w:rsidRDefault="00956BE9" w:rsidP="00956BE9">
      <w:pPr>
        <w:rPr>
          <w:color w:val="auto"/>
          <w:szCs w:val="24"/>
        </w:rPr>
      </w:pPr>
      <w:r w:rsidRPr="002279E2">
        <w:rPr>
          <w:color w:val="1F497D"/>
          <w:szCs w:val="24"/>
        </w:rPr>
        <w:t xml:space="preserve">1. </w:t>
      </w:r>
      <w:r w:rsidRPr="002279E2">
        <w:rPr>
          <w:szCs w:val="24"/>
        </w:rPr>
        <w:t xml:space="preserve">Con riferimento alle entrate, anche tributarie,  delle  regioni, delle province, delle città metropolitane e dei comuni, non riscosse a seguito di provvedimenti di ingiunzione fiscale ai sensi del  testo unico delle  disposizioni di legge  relative  alla  riscossione  delle entrate patrimoniali dello Stato, di cui al regio decreto  14  aprile 1910, n. 639, notificati, negli anni dal 2000  al  2017, dagli  enti stessi e dai concessionari della riscossione di cui all'articolo  53 del decreto legislativo 15 dicembre 1997, n. 446,  i  medesimi  enti territoriali possono stabilire, entro sessanta giorni dalla  data  di entrata in vigore </w:t>
      </w:r>
      <w:r w:rsidR="006B4D67" w:rsidRPr="0024187C">
        <w:rPr>
          <w:szCs w:val="24"/>
        </w:rPr>
        <w:t>del presente decreto</w:t>
      </w:r>
      <w:r w:rsidRPr="0024187C">
        <w:rPr>
          <w:szCs w:val="24"/>
        </w:rPr>
        <w:t>,</w:t>
      </w:r>
      <w:r w:rsidRPr="002279E2">
        <w:rPr>
          <w:szCs w:val="24"/>
        </w:rPr>
        <w:t xml:space="preserve"> con le forme previste dalla legislazione vigente per  l'adozione  dei propri atti destinati a disciplinare le entrate stesse,  l'esclusione delle sanzioni relative alle predette entrate. Gli enti territoriali, entro trenta giorni, danno notizia dell'adozione dell'atto di cui  al primo  periodo  mediante  pubblicazione  nel  proprio  sito  internet istituzionale. </w:t>
      </w:r>
    </w:p>
    <w:p w:rsidR="00956BE9" w:rsidRPr="002279E2" w:rsidRDefault="00956BE9" w:rsidP="00956BE9">
      <w:pPr>
        <w:rPr>
          <w:szCs w:val="24"/>
        </w:rPr>
      </w:pPr>
      <w:r w:rsidRPr="002279E2">
        <w:rPr>
          <w:szCs w:val="24"/>
        </w:rPr>
        <w:t xml:space="preserve">  2. Con il provvedimento di cui al comma 1 gli enti territoriali stabiliscono anche: </w:t>
      </w:r>
    </w:p>
    <w:p w:rsidR="00956BE9" w:rsidRPr="002279E2" w:rsidRDefault="00956BE9" w:rsidP="00956BE9">
      <w:pPr>
        <w:rPr>
          <w:szCs w:val="24"/>
        </w:rPr>
      </w:pPr>
      <w:r w:rsidRPr="002279E2">
        <w:rPr>
          <w:szCs w:val="24"/>
        </w:rPr>
        <w:t>  a) il numero di rate e la relativa scadenza, che non può superare il 30 settembre 2021;</w:t>
      </w:r>
    </w:p>
    <w:p w:rsidR="00956BE9" w:rsidRPr="002279E2" w:rsidRDefault="00956BE9" w:rsidP="00956BE9">
      <w:pPr>
        <w:rPr>
          <w:szCs w:val="24"/>
        </w:rPr>
      </w:pPr>
      <w:r w:rsidRPr="002279E2">
        <w:rPr>
          <w:szCs w:val="24"/>
        </w:rPr>
        <w:t xml:space="preserve">  b) le modalità con cui il debitore manifesta la sua volontà di avvalersi della definizione agevolata; </w:t>
      </w:r>
    </w:p>
    <w:p w:rsidR="00956BE9" w:rsidRPr="002279E2" w:rsidRDefault="00956BE9" w:rsidP="00956BE9">
      <w:pPr>
        <w:rPr>
          <w:szCs w:val="24"/>
        </w:rPr>
      </w:pPr>
      <w:r w:rsidRPr="002279E2">
        <w:rPr>
          <w:szCs w:val="24"/>
        </w:rPr>
        <w:t xml:space="preserve">  c) i termini per la presentazione dell'istanza in cui il debitore indica il numero di rate con il quale intende effettuare il pagamento, nonché la pendenza di giudizi aventi a oggetto i debiti cui si riferisce l'istanza stessa, assumendo l'impegno a rinunciare agli stessi giudizi; </w:t>
      </w:r>
    </w:p>
    <w:p w:rsidR="00956BE9" w:rsidRPr="002279E2" w:rsidRDefault="00956BE9" w:rsidP="00956BE9">
      <w:pPr>
        <w:rPr>
          <w:szCs w:val="24"/>
        </w:rPr>
      </w:pPr>
      <w:r w:rsidRPr="002279E2">
        <w:rPr>
          <w:szCs w:val="24"/>
        </w:rPr>
        <w:t xml:space="preserve">  d)  il termine entro il quale l'ente territoriale o il concessionario della riscossione trasmette ai debitori la comunicazione nella quale sono indicati l'ammontare complessivo delle somme dovute per la definizione agevolata, quello delle singole rate e la scadenza delle stesse. </w:t>
      </w:r>
    </w:p>
    <w:p w:rsidR="00956BE9" w:rsidRPr="002279E2" w:rsidRDefault="00956BE9" w:rsidP="00956BE9">
      <w:pPr>
        <w:rPr>
          <w:szCs w:val="24"/>
        </w:rPr>
      </w:pPr>
      <w:r w:rsidRPr="002279E2">
        <w:rPr>
          <w:szCs w:val="24"/>
        </w:rPr>
        <w:t xml:space="preserve">  3. A seguito della presentazione dell'istanza sono sospesi i termini di prescrizione e di decadenza per il recupero delle somme oggetto di tale istanza. </w:t>
      </w:r>
    </w:p>
    <w:p w:rsidR="00956BE9" w:rsidRPr="002279E2" w:rsidRDefault="00956BE9" w:rsidP="00956BE9">
      <w:pPr>
        <w:rPr>
          <w:szCs w:val="24"/>
        </w:rPr>
      </w:pPr>
      <w:r w:rsidRPr="002279E2">
        <w:rPr>
          <w:szCs w:val="24"/>
        </w:rPr>
        <w:lastRenderedPageBreak/>
        <w:t xml:space="preserve">  4. In caso di mancato, insufficiente o tardivo versamento dell'unica rata ovvero di una delle rate in cui e' stato dilazionato il pagamento delle somme, la definizione non produce effetti e riprendono a decorrere i termini di prescrizione e di decadenza per il recupero delle somme oggetto dell'istanza. In tale caso, i versamenti effettuati sono acquisiti a titolo di acconto dell'importo complessivamente dovuto. </w:t>
      </w:r>
    </w:p>
    <w:p w:rsidR="00956BE9" w:rsidRPr="002279E2" w:rsidRDefault="00956BE9" w:rsidP="00956BE9">
      <w:pPr>
        <w:rPr>
          <w:szCs w:val="24"/>
        </w:rPr>
      </w:pPr>
      <w:r w:rsidRPr="002279E2">
        <w:rPr>
          <w:szCs w:val="24"/>
        </w:rPr>
        <w:t>  5. Si applicano i commi 16 e 17 dell'articolo 3 del decreto-legge 23 ottobre 2018, n. 119convertito con modificazioni dalla legge 17 dicembre 2018, n. 136</w:t>
      </w:r>
    </w:p>
    <w:p w:rsidR="00956BE9" w:rsidRPr="002279E2" w:rsidRDefault="00956BE9" w:rsidP="00956BE9">
      <w:pPr>
        <w:rPr>
          <w:szCs w:val="24"/>
        </w:rPr>
      </w:pPr>
      <w:r w:rsidRPr="002279E2">
        <w:rPr>
          <w:szCs w:val="24"/>
        </w:rPr>
        <w:t xml:space="preserve">  6. Per le regioni a statuto speciale e per le province autonome di Trento e di Bolzano l'attuazione delle disposizioni del presente articolo avviene in conformità e compatibilmente con le forme e con le condizioni di speciale autonomia previste dai rispettivi statuti. </w:t>
      </w:r>
    </w:p>
    <w:p w:rsidR="00956BE9" w:rsidRPr="002279E2" w:rsidRDefault="00956BE9" w:rsidP="00956BE9">
      <w:pPr>
        <w:rPr>
          <w:szCs w:val="24"/>
        </w:rPr>
      </w:pPr>
    </w:p>
    <w:p w:rsidR="00CA07CD" w:rsidRPr="002279E2" w:rsidRDefault="00CA07CD" w:rsidP="00CA07CD">
      <w:pPr>
        <w:jc w:val="center"/>
        <w:rPr>
          <w:b/>
          <w:bCs/>
          <w:szCs w:val="24"/>
        </w:rPr>
      </w:pPr>
      <w:r w:rsidRPr="002279E2">
        <w:rPr>
          <w:b/>
          <w:bCs/>
          <w:szCs w:val="24"/>
        </w:rPr>
        <w:t>Relazione illustrativa</w:t>
      </w:r>
    </w:p>
    <w:p w:rsidR="00CA07CD" w:rsidRPr="002279E2" w:rsidRDefault="00CA07CD" w:rsidP="00CA07CD">
      <w:pPr>
        <w:rPr>
          <w:szCs w:val="24"/>
        </w:rPr>
      </w:pPr>
      <w:r w:rsidRPr="002279E2">
        <w:rPr>
          <w:szCs w:val="24"/>
        </w:rPr>
        <w:t xml:space="preserve">La disposizione in esame introduce la possibilità per gli enti territoriali di disporre la definizione agevolata delle proprie entrate, anche tributarie, non riscosse a seguito di provvedimenti di ingiunzione fiscale stabilendo l’esclusione delle sanzioni. </w:t>
      </w:r>
    </w:p>
    <w:p w:rsidR="00CA07CD" w:rsidRPr="00830F65" w:rsidRDefault="00CA07CD" w:rsidP="00CA07CD">
      <w:pPr>
        <w:rPr>
          <w:szCs w:val="24"/>
        </w:rPr>
      </w:pPr>
      <w:r w:rsidRPr="002279E2">
        <w:rPr>
          <w:szCs w:val="24"/>
        </w:rPr>
        <w:t xml:space="preserve">In particolare, il </w:t>
      </w:r>
      <w:r w:rsidRPr="00830F65">
        <w:rPr>
          <w:szCs w:val="24"/>
        </w:rPr>
        <w:t>comma 1, prevede che,</w:t>
      </w:r>
      <w:r w:rsidRPr="00830F65">
        <w:rPr>
          <w:color w:val="1F497D"/>
          <w:szCs w:val="24"/>
        </w:rPr>
        <w:t xml:space="preserve"> </w:t>
      </w:r>
      <w:r w:rsidRPr="00830F65">
        <w:rPr>
          <w:szCs w:val="24"/>
        </w:rPr>
        <w:t xml:space="preserve">con riferimento alle entrate, anche tributarie, delle regioni, delle province, delle città metropolitane e dei comuni, non riscosse a seguito di provvedimenti di ingiunzione fiscale di cui al R.D.  n. 639 del 1910, notificati, negli anni dal 2000 al 2017, dagli enti stessi e dai concessionari privati della riscossione di cui all’articolo 53 del D. Lgs. n. 446 del 1997, i medesimi enti territoriali possono stabilire, entro sessanta giorni dalla data di entrata in vigore </w:t>
      </w:r>
      <w:r w:rsidR="00904CF4" w:rsidRPr="00830F65">
        <w:rPr>
          <w:szCs w:val="24"/>
        </w:rPr>
        <w:t>del presente decreto</w:t>
      </w:r>
      <w:r w:rsidRPr="00830F65">
        <w:rPr>
          <w:szCs w:val="24"/>
        </w:rPr>
        <w:t xml:space="preserve">, con le forme previste dalla legislazione vigente per l’adozione dei propri atti destinati a disciplinare le entrate stesse, l’esclusione delle sanzioni relative alle predette entrate. Gli enti territoriali, entro trenta giorni, danno notizia dell’adozione dell’atto mediante pubblicazione nel proprio sito internet istituzionale. </w:t>
      </w:r>
    </w:p>
    <w:p w:rsidR="00CA07CD" w:rsidRPr="00830F65" w:rsidRDefault="00CA07CD" w:rsidP="00CA07CD">
      <w:pPr>
        <w:rPr>
          <w:szCs w:val="24"/>
        </w:rPr>
      </w:pPr>
      <w:r w:rsidRPr="00830F65">
        <w:rPr>
          <w:szCs w:val="24"/>
        </w:rPr>
        <w:t xml:space="preserve">Il comma 2 dispone che gli enti territoriali stabiliscono, con l’atto di cui al comma 1, anche: a) il numero di rate e la relativa scadenza, che non può superare il 30 settembre 2021;  b) le modalità con cui il debitore manifesta la sua volontà di avvalersi della definizione agevolata;  c) i termini per la presentazione dell'istanza in cui il debitore indica il numero di rate con il quale intende effettuare il pagamento, nonché la pendenza di giudizi aventi a oggetto i debiti cui si riferisce l'istanza stessa, assumendo l'impegno a rinunciare agli stessi giudizi;  d)  il termine entro il quale l'ente territoriale o il concessionario della riscossione trasmette ai debitori la comunicazione nella quale sono indicati l'ammontare complessivo delle somme dovute per la definizione agevolata, quello delle singole rate e la scadenza delle stesse. </w:t>
      </w:r>
    </w:p>
    <w:p w:rsidR="00CA07CD" w:rsidRPr="00830F65" w:rsidRDefault="00CA07CD" w:rsidP="00CA07CD">
      <w:pPr>
        <w:rPr>
          <w:szCs w:val="24"/>
        </w:rPr>
      </w:pPr>
      <w:r w:rsidRPr="00830F65">
        <w:rPr>
          <w:szCs w:val="24"/>
        </w:rPr>
        <w:t xml:space="preserve">Ai sensi del comma 3, a seguito della presentazione dell’istanza sono sospesi i termini di prescrizione e di decadenza per il recupero delle somme oggetto di tale istanza. </w:t>
      </w:r>
    </w:p>
    <w:p w:rsidR="00CA07CD" w:rsidRPr="00830F65" w:rsidRDefault="00CA07CD" w:rsidP="00CA07CD">
      <w:pPr>
        <w:rPr>
          <w:szCs w:val="24"/>
        </w:rPr>
      </w:pPr>
      <w:r w:rsidRPr="00830F65">
        <w:rPr>
          <w:szCs w:val="24"/>
        </w:rPr>
        <w:t xml:space="preserve"> Il comma 4 precisa che, in caso di mancato, insufficiente o tardivo versamento dell’unica rata ovvero di una delle rate in cui è stato dilazionato il pagamento delle somme, la definizione non produce effetti e riprendono a decorrere i termini di prescrizione e di decadenza per il recupero delle somme oggetto dell’istanza. In tale caso, i versamenti effettuati sono acquisiti a titolo di acconto dell’importo complessivamente dovuto. </w:t>
      </w:r>
    </w:p>
    <w:p w:rsidR="00CA07CD" w:rsidRPr="00830F65" w:rsidRDefault="00CA07CD" w:rsidP="00CA07CD">
      <w:pPr>
        <w:rPr>
          <w:szCs w:val="24"/>
        </w:rPr>
      </w:pPr>
      <w:r w:rsidRPr="00830F65">
        <w:rPr>
          <w:szCs w:val="24"/>
        </w:rPr>
        <w:t> Il comma 5 dispone che si applicano le disposizioni in materia di definizione agevolata dei carichi affidati all’agente della riscossione di cui ai commi 16 e 17 dell’articolo 3 del D. L. n. 119 del 2018, convertito dalla legge n. 136 del 2018, che prevedono, rispettivamente, l’esclusione dalla definizione agevolata per talune somme e specifiche disposizioni per le sanzioni amministrative per violazioni del codice della strada.</w:t>
      </w:r>
    </w:p>
    <w:p w:rsidR="00CA07CD" w:rsidRPr="002279E2" w:rsidRDefault="00CA07CD" w:rsidP="00CA07CD">
      <w:pPr>
        <w:rPr>
          <w:szCs w:val="24"/>
        </w:rPr>
      </w:pPr>
      <w:r w:rsidRPr="00830F65">
        <w:rPr>
          <w:szCs w:val="24"/>
        </w:rPr>
        <w:t>Il comma 6 prevede, infine, che per le regioni a statuto speciale e per le prov</w:t>
      </w:r>
      <w:r w:rsidRPr="002279E2">
        <w:rPr>
          <w:szCs w:val="24"/>
        </w:rPr>
        <w:t xml:space="preserve">ince autonome di Trento e di Bolzano l’attuazione delle disposizioni del presente articolo avviene in conformità e compatibilmente con le forme e con le condizioni di speciale autonomia previste dai rispettivi statuti. </w:t>
      </w:r>
    </w:p>
    <w:p w:rsidR="00CA07CD" w:rsidRPr="002279E2" w:rsidRDefault="00CA07CD" w:rsidP="00CA07CD">
      <w:pPr>
        <w:jc w:val="center"/>
        <w:rPr>
          <w:b/>
          <w:bCs/>
          <w:szCs w:val="24"/>
        </w:rPr>
      </w:pPr>
      <w:r w:rsidRPr="002279E2">
        <w:rPr>
          <w:b/>
          <w:bCs/>
          <w:szCs w:val="24"/>
        </w:rPr>
        <w:t>Relazione tecnica</w:t>
      </w:r>
    </w:p>
    <w:p w:rsidR="00CA07CD" w:rsidRPr="002279E2" w:rsidRDefault="00CA07CD" w:rsidP="00CA07CD">
      <w:pPr>
        <w:rPr>
          <w:szCs w:val="24"/>
        </w:rPr>
      </w:pPr>
      <w:r w:rsidRPr="002279E2">
        <w:rPr>
          <w:szCs w:val="24"/>
        </w:rPr>
        <w:t>La disposizione in esame prevede la facoltà per gli enti territoriali di aderire alla definizione agevolata per le proprie entrate, anche tributarie, non riscosse a seguito di provvedimenti di ingiunzione fiscale stabilendo l’esclusione delle sanzioni. I medesimi enti devono poi disciplinare le modalità attuative della definizione in particolare per ciò che riguarda il numero di rate. Al riguardo, trattandosi di entrate non riscosse e considerato che si tratta di una facoltà per gli enti territoriali di aderire alla definizione agevolata in esame non si rilevano valutazioni di ordine finanziario.</w:t>
      </w:r>
    </w:p>
    <w:p w:rsidR="00B439C6" w:rsidRPr="002279E2" w:rsidRDefault="00B439C6" w:rsidP="00612935">
      <w:pPr>
        <w:rPr>
          <w:rFonts w:cs="Times New Roman"/>
        </w:rPr>
      </w:pPr>
    </w:p>
    <w:p w:rsidR="00956BE9" w:rsidRPr="002279E2" w:rsidRDefault="00956BE9" w:rsidP="00956BE9">
      <w:pPr>
        <w:pStyle w:val="Titolo2"/>
        <w:rPr>
          <w:color w:val="auto"/>
        </w:rPr>
      </w:pPr>
      <w:bookmarkStart w:id="37" w:name="_Toc6937344"/>
      <w:r w:rsidRPr="002279E2">
        <w:t>Articolo 1</w:t>
      </w:r>
      <w:r w:rsidR="00B30DBD" w:rsidRPr="002279E2">
        <w:t>6</w:t>
      </w:r>
      <w:r w:rsidRPr="002279E2">
        <w:br/>
        <w:t>(Credito d’imposta per le commissioni riferite a pagamenti elettronici da parte di distributori di carburante)</w:t>
      </w:r>
      <w:bookmarkEnd w:id="37"/>
    </w:p>
    <w:p w:rsidR="00956BE9" w:rsidRPr="002279E2" w:rsidRDefault="00956BE9" w:rsidP="00956BE9">
      <w:pPr>
        <w:rPr>
          <w:color w:val="auto"/>
          <w:szCs w:val="24"/>
        </w:rPr>
      </w:pPr>
      <w:r w:rsidRPr="002279E2">
        <w:rPr>
          <w:color w:val="auto"/>
          <w:szCs w:val="24"/>
        </w:rPr>
        <w:t xml:space="preserve">1.Le disposizioni di cui all’articolo 1, comma 924, della legge 27 dicembre 2017, n. 205 valgono con riferimento alle cessioni di carburanti effettuate nei confronti sia di esercenti attività d’impresa, arte e </w:t>
      </w:r>
      <w:r w:rsidRPr="002279E2">
        <w:rPr>
          <w:color w:val="auto"/>
          <w:szCs w:val="24"/>
        </w:rPr>
        <w:lastRenderedPageBreak/>
        <w:t>professioni sia di consumatori finali. Nel caso in cui gli esercenti di impianti di distribuzione di carburante non contabilizzino separatamente le commissioni addebitate per le transazioni effettuate diverse da quelle per cessioni di carburante, il credito d’imposta di cui all’articolo 1, comma 924, della legge 27 dicembre 2017, n. 205 spetta per la quota parte delle commissioni calcolata in base al rapporto tra il volume d’affari annuo derivante da cessioni di carburante e il volume d’affari annuo complessivo.</w:t>
      </w:r>
    </w:p>
    <w:p w:rsidR="00796101" w:rsidRPr="002279E2" w:rsidRDefault="00796101" w:rsidP="00796101">
      <w:pPr>
        <w:rPr>
          <w:b/>
          <w:bCs/>
          <w:color w:val="auto"/>
          <w:szCs w:val="24"/>
        </w:rPr>
      </w:pPr>
    </w:p>
    <w:p w:rsidR="00CA07CD" w:rsidRPr="002279E2" w:rsidRDefault="00CA07CD" w:rsidP="00CA07CD">
      <w:pPr>
        <w:jc w:val="center"/>
        <w:rPr>
          <w:b/>
          <w:color w:val="auto"/>
          <w:szCs w:val="24"/>
        </w:rPr>
      </w:pPr>
      <w:r w:rsidRPr="002279E2">
        <w:rPr>
          <w:b/>
          <w:color w:val="auto"/>
          <w:szCs w:val="24"/>
        </w:rPr>
        <w:t>Relazione illustrativa</w:t>
      </w:r>
    </w:p>
    <w:p w:rsidR="00CA07CD" w:rsidRPr="002279E2" w:rsidRDefault="00CA07CD" w:rsidP="00CA07CD">
      <w:pPr>
        <w:rPr>
          <w:color w:val="auto"/>
          <w:szCs w:val="24"/>
        </w:rPr>
      </w:pPr>
      <w:r w:rsidRPr="002279E2">
        <w:rPr>
          <w:color w:val="auto"/>
          <w:szCs w:val="24"/>
        </w:rPr>
        <w:t>I commi 922 e 923 della Legge 205/2017 (Legge di bilancio 2018) hanno previsto, a decorrere dal 1° luglio 2018, il superamento del sistema delle schede carburanti utilizzato ai fini della deducibilità dei costi relativi ai carburanti non acquistati tramite mezzi di pagamento elettronici, introducendo l'indeducibilità ai fini delle imposte dirette e l'indetraibilità ai fini IVA dei corrispettivi pagati in contanti.</w:t>
      </w:r>
    </w:p>
    <w:p w:rsidR="00CA07CD" w:rsidRPr="002279E2" w:rsidRDefault="00CA07CD" w:rsidP="00CA07CD">
      <w:pPr>
        <w:rPr>
          <w:color w:val="auto"/>
          <w:szCs w:val="24"/>
        </w:rPr>
      </w:pPr>
      <w:r w:rsidRPr="002279E2">
        <w:rPr>
          <w:color w:val="auto"/>
          <w:szCs w:val="24"/>
        </w:rPr>
        <w:t>Quindi, dalla predetta data sia la deduzione ai fini delle imposte dirette che la detraibilità IVA dei costi relativi agli acquisti di carburante rimangono subordinate alla circostanza che l’acquisto sia effettuato con mezzi di pagamento elettronici.</w:t>
      </w:r>
    </w:p>
    <w:p w:rsidR="00CA07CD" w:rsidRPr="002279E2" w:rsidRDefault="00CA07CD" w:rsidP="00CA07CD">
      <w:pPr>
        <w:rPr>
          <w:color w:val="auto"/>
          <w:szCs w:val="24"/>
        </w:rPr>
      </w:pPr>
      <w:r w:rsidRPr="002279E2">
        <w:rPr>
          <w:color w:val="auto"/>
          <w:szCs w:val="24"/>
        </w:rPr>
        <w:t>Il comma 924, a fronte del prevedibile aumento delle predette operazioni di acquisto attraverso mezzi elettronici di pagamento, con conseguenti oneri aggiuntivi (commissioni bancarie) a carico dei distributori di carburante, ha introdotto a favore dell’esercente dell’impianto di distribuzione un credito di imposta pari al 50% delle commissioni allo stesso addebitate a fronte di acquisti tramite mezzi di pagamento elettronici da parte di consumatori e imprese.</w:t>
      </w:r>
    </w:p>
    <w:p w:rsidR="00CA07CD" w:rsidRPr="002279E2" w:rsidRDefault="00CA07CD" w:rsidP="00CA07CD">
      <w:pPr>
        <w:rPr>
          <w:color w:val="auto"/>
          <w:szCs w:val="24"/>
        </w:rPr>
      </w:pPr>
      <w:r w:rsidRPr="002279E2">
        <w:rPr>
          <w:color w:val="auto"/>
          <w:szCs w:val="24"/>
        </w:rPr>
        <w:t>Sebbene la relazione tecnica a tale disposizione avesse commisurato il credito di imposta alle sole transazioni relative a cessioni di carburanti, dubbi sono sorti in ordine al perimetro del credito di imposta atteso che il dettato normativo non escludeva esplicitamente le commissioni bancarie su transazioni effettuate da esercenti impianti di distribuzione carburanti in riferimento a beni diversi dai carburanti o in riferimento a servizi.</w:t>
      </w:r>
    </w:p>
    <w:p w:rsidR="00CA07CD" w:rsidRPr="002279E2" w:rsidRDefault="00CA07CD" w:rsidP="00CA07CD">
      <w:pPr>
        <w:rPr>
          <w:color w:val="auto"/>
          <w:szCs w:val="24"/>
        </w:rPr>
      </w:pPr>
      <w:r w:rsidRPr="002279E2">
        <w:rPr>
          <w:color w:val="auto"/>
          <w:szCs w:val="24"/>
        </w:rPr>
        <w:t>Con l’odierno intervento, avente natura interpretativa, si intende chiarire che il credito di imposta spetta solo a fronte delle commissioni bancarie relative a cessioni di carburanti e non a fronte di transazioni diverse, in linea con quanto previsto nella relazione tecnica originaria allegata alla Legge di Bilancio 2018. Inoltre, si chiarisce come operare in caso di registrazioni indistinte dei costi delle commissioni per pagamenti di carburanti e di altri beni, ai fini della quantificazione del credito d’imposta (per garantire che il credito d’imposta sia riconosciuto solo a fronte delle commissioni bancarie relative a cessioni di carburanti). In tale caso  il credito d’imposta spetta per la quota parte delle commissioni calcolata in base al rapporto tra il volume d’affari annuo derivante da cessioni di carburante e il volume d’affari annuo complessivo.</w:t>
      </w:r>
    </w:p>
    <w:p w:rsidR="00CA07CD" w:rsidRPr="002279E2" w:rsidRDefault="00CA07CD" w:rsidP="00CA07CD">
      <w:pPr>
        <w:rPr>
          <w:b/>
          <w:bCs/>
          <w:color w:val="auto"/>
          <w:szCs w:val="24"/>
        </w:rPr>
      </w:pPr>
    </w:p>
    <w:p w:rsidR="00CA07CD" w:rsidRPr="002279E2" w:rsidRDefault="00CA07CD" w:rsidP="00CA07CD">
      <w:pPr>
        <w:jc w:val="center"/>
        <w:rPr>
          <w:b/>
          <w:bCs/>
          <w:color w:val="auto"/>
          <w:szCs w:val="24"/>
        </w:rPr>
      </w:pPr>
      <w:r w:rsidRPr="002279E2">
        <w:rPr>
          <w:b/>
          <w:bCs/>
          <w:color w:val="auto"/>
          <w:szCs w:val="24"/>
        </w:rPr>
        <w:t>Relazione tecnica</w:t>
      </w:r>
    </w:p>
    <w:p w:rsidR="00CA07CD" w:rsidRPr="002279E2" w:rsidRDefault="00CA07CD" w:rsidP="00CA07CD">
      <w:pPr>
        <w:rPr>
          <w:color w:val="auto"/>
          <w:szCs w:val="24"/>
        </w:rPr>
      </w:pPr>
      <w:r w:rsidRPr="002279E2">
        <w:rPr>
          <w:color w:val="auto"/>
          <w:szCs w:val="24"/>
        </w:rPr>
        <w:t>Il comma 922 della Legge 205/2017 (Legge di bilancio 2018) ha previsto, a decorrere dal 1° luglio 2018, il superamento del sistema delle schede carburanti utilizzato ai fini della deducibilità dei costi relativi ai carburanti non acquistati tramite mezzi di pagamento elettronici, introducendo l'indeducibilità ai fini delle imposte dirette e l'indetraibilità ai fini IVA dei corrispettivi pagati in contanti. Posto che tale norma comportava un aumento delle transazioni cashless con conseguenti oneri aggiuntivi a carico dei distributori di carburanti in misura pari alle commissioni bancarie addebitate su tali transazioni cashless aggiuntive, il successivo comma 924 ha introdotto un credito d’imposta in misura pari al 50% delle commissioni addebitate all’esercente a fronte di acquisti tramite mezzi di pagamento elettronici da parte di consumatori e imprese. Sebbene la relazione tecnica, nel computo degli effetti finanziari della disposizione di cui al comma 924, commisurasse il credito d’imposta concesso alle sole transazioni relative a cessioni di carburanti, la norma non escludeva esplicitamente, ai fini del riconoscimento del credito d’imposta, le commissioni bancarie su transazioni effettuate da esercenti impianti di distribuzione carburanti in riferimento a beni diversi dai carburanti o in riferimento a servizi. La riformulazione della proposta emendativa si rende necessaria per chiarire come operare in caso di registrazioni indistinte dei costi delle commissioni per pagamenti di carburanti e di altri beni, ai fini della quantificazione del credito d’imposta, per garantire che il credito d’imposta sia riconosciuto solo a fronte delle commissioni bancarie relative a cessioni di carburanti e non a fronte di transazioni diverse, in linea con quanto previsto nella relazione tecnica originaria allegata alla Legge di Bilancio 2018. A tal fine, la norma precisa, in via interpretativa, che il credito d’imposta di cui all’articolo 1, comma 924, della legge 27 dicembre 2017, n. 205 (Legge di Bilancio 2018) spetta per la quota parte delle commissioni calcolata in base al rapporto tra il volume d’affari annuo derivante da cessioni di carburante e il volume d’affari annuo complessivo. Dal punto di vista finanziario, si segnala che alla proposta non si ascrivono effetti finanziari, in considerazione del tenore interpretativo della stessa.</w:t>
      </w:r>
    </w:p>
    <w:p w:rsidR="00CA07CD" w:rsidRPr="00830F65" w:rsidRDefault="00CA07CD" w:rsidP="00CA07CD">
      <w:pPr>
        <w:rPr>
          <w:color w:val="auto"/>
          <w:szCs w:val="24"/>
        </w:rPr>
      </w:pPr>
      <w:r w:rsidRPr="00830F65">
        <w:rPr>
          <w:bCs/>
          <w:color w:val="auto"/>
          <w:szCs w:val="24"/>
        </w:rPr>
        <w:lastRenderedPageBreak/>
        <w:t xml:space="preserve">Conseguentemente, gli effetti finanziari complessivi della norma emendata sono invariati rispetto a quelli stimati nella relazione tecnica originaria, </w:t>
      </w:r>
      <w:r w:rsidRPr="00830F65">
        <w:rPr>
          <w:color w:val="auto"/>
          <w:szCs w:val="24"/>
        </w:rPr>
        <w:t>che si riportano nella tabella che segue</w:t>
      </w:r>
      <w:r w:rsidR="00604FDB" w:rsidRPr="00830F65">
        <w:rPr>
          <w:color w:val="auto"/>
          <w:szCs w:val="24"/>
        </w:rPr>
        <w:t>:</w:t>
      </w:r>
    </w:p>
    <w:p w:rsidR="00CA07CD" w:rsidRPr="002279E2" w:rsidRDefault="00CA07CD" w:rsidP="00CA07CD">
      <w:pPr>
        <w:rPr>
          <w:sz w:val="24"/>
          <w:szCs w:val="24"/>
        </w:rPr>
      </w:pPr>
      <w:r w:rsidRPr="002279E2">
        <w:rPr>
          <w:noProof/>
          <w:sz w:val="24"/>
          <w:szCs w:val="24"/>
          <w:lang w:eastAsia="it-IT"/>
        </w:rPr>
        <w:drawing>
          <wp:inline distT="0" distB="0" distL="0" distR="0" wp14:anchorId="08917589" wp14:editId="4F56B307">
            <wp:extent cx="6113145" cy="1295400"/>
            <wp:effectExtent l="0" t="0" r="0" b="0"/>
            <wp:docPr id="2" name="Immagine 2" descr="cid:image001.png@01D4E592.29B71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4E592.29B71FC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113145" cy="1295400"/>
                    </a:xfrm>
                    <a:prstGeom prst="rect">
                      <a:avLst/>
                    </a:prstGeom>
                    <a:noFill/>
                    <a:ln>
                      <a:noFill/>
                    </a:ln>
                  </pic:spPr>
                </pic:pic>
              </a:graphicData>
            </a:graphic>
          </wp:inline>
        </w:drawing>
      </w:r>
    </w:p>
    <w:p w:rsidR="003C455E" w:rsidRPr="002279E2" w:rsidRDefault="003C455E" w:rsidP="00612935">
      <w:pPr>
        <w:pStyle w:val="Titolo1"/>
        <w:rPr>
          <w:rFonts w:cs="Times New Roman"/>
          <w:szCs w:val="24"/>
        </w:rPr>
      </w:pPr>
      <w:bookmarkStart w:id="38" w:name="_Toc6937345"/>
      <w:r w:rsidRPr="002279E2">
        <w:rPr>
          <w:rFonts w:cs="Times New Roman"/>
          <w:szCs w:val="24"/>
        </w:rPr>
        <w:t>Capo II</w:t>
      </w:r>
      <w:r w:rsidRPr="002279E2">
        <w:rPr>
          <w:rFonts w:cs="Times New Roman"/>
          <w:szCs w:val="24"/>
        </w:rPr>
        <w:br/>
        <w:t>Misure per il rilancio degli investimenti privati</w:t>
      </w:r>
      <w:bookmarkEnd w:id="38"/>
    </w:p>
    <w:p w:rsidR="000405C6" w:rsidRPr="002279E2" w:rsidRDefault="000405C6" w:rsidP="00612935"/>
    <w:p w:rsidR="003C455E" w:rsidRPr="002279E2" w:rsidRDefault="003C455E" w:rsidP="00604FDB">
      <w:pPr>
        <w:pStyle w:val="Titolo2"/>
        <w:rPr>
          <w:sz w:val="24"/>
          <w:szCs w:val="24"/>
        </w:rPr>
      </w:pPr>
      <w:bookmarkStart w:id="39" w:name="_Toc6937346"/>
      <w:r w:rsidRPr="002279E2">
        <w:t xml:space="preserve">Articolo </w:t>
      </w:r>
      <w:r w:rsidR="00F523CA">
        <w:t>17</w:t>
      </w:r>
      <w:r w:rsidRPr="002279E2">
        <w:br/>
        <w:t>(Garanzia sviluppo media impresa</w:t>
      </w:r>
      <w:r w:rsidRPr="002279E2">
        <w:rPr>
          <w:sz w:val="24"/>
          <w:szCs w:val="24"/>
        </w:rPr>
        <w:t>)</w:t>
      </w:r>
      <w:bookmarkEnd w:id="39"/>
    </w:p>
    <w:p w:rsidR="00B4419C" w:rsidRPr="00386E61" w:rsidRDefault="00B4419C" w:rsidP="00B4419C">
      <w:pPr>
        <w:rPr>
          <w:rFonts w:cs="Times New Roman"/>
          <w:szCs w:val="24"/>
        </w:rPr>
      </w:pPr>
      <w:r w:rsidRPr="00386E61">
        <w:rPr>
          <w:rFonts w:cs="Times New Roman"/>
          <w:szCs w:val="24"/>
        </w:rPr>
        <w:t>1. Nell’ambito del Fondo di garanzia di cui all’articolo 2, comma 100, lettera a), della legge 23 dicembre 1996, n. 662, è istituita, nel rispetto della disciplina dell’Unione</w:t>
      </w:r>
      <w:r w:rsidR="00DE1D20">
        <w:rPr>
          <w:rFonts w:cs="Times New Roman"/>
          <w:szCs w:val="24"/>
        </w:rPr>
        <w:t xml:space="preserve"> Europea, una sezione speciale </w:t>
      </w:r>
      <w:r w:rsidRPr="00386E61">
        <w:rPr>
          <w:rFonts w:cs="Times New Roman"/>
          <w:szCs w:val="24"/>
        </w:rPr>
        <w:t xml:space="preserve">destinata alla concessione, a titolo oneroso, di garanzie a copertura di singoli finanziamenti e portafogli di finanziamenti di importo massimo garantito di euro 5 milioni e di durata ultradecennale </w:t>
      </w:r>
      <w:r w:rsidRPr="00830F65">
        <w:rPr>
          <w:rFonts w:cs="Times New Roman"/>
          <w:szCs w:val="24"/>
        </w:rPr>
        <w:t>e fino a 30 anni</w:t>
      </w:r>
      <w:r w:rsidRPr="00386E61">
        <w:rPr>
          <w:rFonts w:cs="Times New Roman"/>
          <w:szCs w:val="24"/>
        </w:rPr>
        <w:t xml:space="preserve"> erogati alle imprese con un numero di dipendenti non superiore a 499 da banche e intermediari finanziari e finalizzati </w:t>
      </w:r>
      <w:r w:rsidRPr="00830F65">
        <w:rPr>
          <w:rFonts w:cs="Times New Roman"/>
          <w:szCs w:val="24"/>
        </w:rPr>
        <w:t>per almeno il 60 per cento</w:t>
      </w:r>
      <w:r w:rsidRPr="00386E61">
        <w:rPr>
          <w:rFonts w:cs="Times New Roman"/>
          <w:szCs w:val="24"/>
        </w:rPr>
        <w:t xml:space="preserve"> a investimenti in beni material</w:t>
      </w:r>
      <w:r w:rsidRPr="00DE1D20">
        <w:rPr>
          <w:rFonts w:cs="Times New Roman"/>
          <w:color w:val="auto"/>
          <w:szCs w:val="24"/>
        </w:rPr>
        <w:t>i.</w:t>
      </w:r>
      <w:r w:rsidR="00DE1D20" w:rsidRPr="00DE1D20">
        <w:rPr>
          <w:color w:val="auto"/>
        </w:rPr>
        <w:t xml:space="preserve"> A tal fine, la dotazione del fondo è incrementata di 150 milioni per l’anno 2019.</w:t>
      </w:r>
      <w:r w:rsidRPr="00DE1D20">
        <w:rPr>
          <w:rFonts w:cs="Times New Roman"/>
          <w:color w:val="auto"/>
          <w:szCs w:val="24"/>
        </w:rPr>
        <w:t xml:space="preserve"> Con decreto del Ministro dell</w:t>
      </w:r>
      <w:r w:rsidRPr="00386E61">
        <w:rPr>
          <w:rFonts w:cs="Times New Roman"/>
          <w:szCs w:val="24"/>
        </w:rPr>
        <w:t>o sviluppo economico, di concerto con il Ministro dell’economia e delle finanze, sono disciplinate le tipologie di operazioni ammissibili, le condizioni i criteri e le modalità di accesso alla garanzia della sezione speciale.</w:t>
      </w:r>
    </w:p>
    <w:p w:rsidR="00214FA3" w:rsidRPr="002279E2" w:rsidRDefault="00214FA3" w:rsidP="00214FA3">
      <w:pPr>
        <w:rPr>
          <w:rFonts w:cs="Times New Roman"/>
          <w:szCs w:val="24"/>
        </w:rPr>
      </w:pPr>
      <w:r w:rsidRPr="002279E2">
        <w:rPr>
          <w:rFonts w:cs="Times New Roman"/>
          <w:szCs w:val="24"/>
        </w:rPr>
        <w:t>2. All’articolo 39, comma 4, del decreto-legge 6 dicembre 2011, n. 201, convertito, con modificazioni, dalla legge 22 dicembre 2011, n. 214, dopo il primo periodo è aggiunto il seguente periodo: «Per le garanzie concesse nell’ambito di portafogli di finanziamenti l’importo massimo garantito dal Fondo per singola impresa è elevato, nel rispetto della disciplina dell’Unione europea, a 3,5 milioni di euro».</w:t>
      </w:r>
    </w:p>
    <w:p w:rsidR="00E13835" w:rsidRPr="00830F65" w:rsidRDefault="00E13835" w:rsidP="00E13835">
      <w:pPr>
        <w:rPr>
          <w:color w:val="1F497D"/>
          <w:szCs w:val="24"/>
        </w:rPr>
      </w:pPr>
      <w:r w:rsidRPr="00CC4175">
        <w:rPr>
          <w:i/>
          <w:iCs/>
          <w:szCs w:val="24"/>
        </w:rPr>
        <w:t xml:space="preserve">3. </w:t>
      </w:r>
      <w:r w:rsidRPr="00830F65">
        <w:rPr>
          <w:bCs/>
          <w:iCs/>
          <w:szCs w:val="24"/>
        </w:rPr>
        <w:t xml:space="preserve">Le </w:t>
      </w:r>
      <w:r w:rsidRPr="00830F65">
        <w:rPr>
          <w:iCs/>
          <w:szCs w:val="24"/>
        </w:rPr>
        <w:t xml:space="preserve">risorse del Fondo </w:t>
      </w:r>
      <w:r w:rsidRPr="00830F65">
        <w:rPr>
          <w:bCs/>
          <w:iCs/>
          <w:szCs w:val="24"/>
        </w:rPr>
        <w:t>di garanzia di cui all’articolo 2, comma 100, lettera a), della legge 23 dicembre 1996, n. 662</w:t>
      </w:r>
      <w:r w:rsidRPr="00830F65">
        <w:rPr>
          <w:iCs/>
          <w:szCs w:val="24"/>
        </w:rPr>
        <w:t xml:space="preserve"> non utilizzate a valere su</w:t>
      </w:r>
      <w:r w:rsidR="00506B4D">
        <w:rPr>
          <w:iCs/>
          <w:szCs w:val="24"/>
        </w:rPr>
        <w:t>lla</w:t>
      </w:r>
      <w:r w:rsidRPr="00830F65">
        <w:rPr>
          <w:iCs/>
          <w:szCs w:val="24"/>
        </w:rPr>
        <w:t xml:space="preserve"> la sezione speciale di cui al decreto del Ministro delle attività produttive e Ministro per l’innovazione e le tecnologie del 15 giugno 2004; </w:t>
      </w:r>
      <w:r w:rsidR="00506B4D">
        <w:rPr>
          <w:iCs/>
          <w:szCs w:val="24"/>
        </w:rPr>
        <w:t>sulle</w:t>
      </w:r>
      <w:r w:rsidRPr="00830F65">
        <w:rPr>
          <w:iCs/>
          <w:szCs w:val="24"/>
        </w:rPr>
        <w:t xml:space="preserve"> risorse assegnate al Fondo con la delibera CIPE del 21 Aprile 1999 n. 47;</w:t>
      </w:r>
      <w:r w:rsidR="00506B4D">
        <w:rPr>
          <w:iCs/>
          <w:szCs w:val="24"/>
        </w:rPr>
        <w:t xml:space="preserve"> sulla</w:t>
      </w:r>
      <w:r w:rsidRPr="00830F65">
        <w:rPr>
          <w:iCs/>
          <w:szCs w:val="24"/>
        </w:rPr>
        <w:t xml:space="preserve"> riserva di cui al Decreto del Ministro dello sviluppo economico di concerto con il Ministro dell’economia e del</w:t>
      </w:r>
      <w:r w:rsidR="00830F65">
        <w:rPr>
          <w:iCs/>
          <w:szCs w:val="24"/>
        </w:rPr>
        <w:t xml:space="preserve">le finanze del 15 gennaio 2014, </w:t>
      </w:r>
      <w:r w:rsidRPr="00830F65">
        <w:rPr>
          <w:bCs/>
          <w:iCs/>
          <w:szCs w:val="24"/>
        </w:rPr>
        <w:t>sono utilizzate per le finalità generali del predetto Fondo.</w:t>
      </w:r>
    </w:p>
    <w:p w:rsidR="00764132" w:rsidRPr="002279E2" w:rsidRDefault="00764132" w:rsidP="00612935">
      <w:pPr>
        <w:rPr>
          <w:rFonts w:cs="Times New Roman"/>
        </w:rPr>
      </w:pPr>
    </w:p>
    <w:p w:rsidR="0026018B" w:rsidRPr="00386E61" w:rsidRDefault="0026018B" w:rsidP="0026018B">
      <w:pPr>
        <w:jc w:val="center"/>
        <w:rPr>
          <w:rFonts w:cs="Times New Roman"/>
          <w:b/>
        </w:rPr>
      </w:pPr>
      <w:r w:rsidRPr="00386E61">
        <w:rPr>
          <w:rFonts w:cs="Times New Roman"/>
          <w:b/>
        </w:rPr>
        <w:t>Relazione illustrativa</w:t>
      </w:r>
    </w:p>
    <w:p w:rsidR="0026018B" w:rsidRPr="00386E61" w:rsidRDefault="0026018B" w:rsidP="0026018B">
      <w:pPr>
        <w:rPr>
          <w:rFonts w:cs="Times New Roman"/>
        </w:rPr>
      </w:pPr>
      <w:r w:rsidRPr="00386E61">
        <w:rPr>
          <w:rFonts w:cs="Times New Roman"/>
        </w:rPr>
        <w:t xml:space="preserve">Il comma 1 introduce una forma di garanzia pubblica, concessa da una sezione speciale del Fondo centrale di garanzia (FCG) che opera esclusivamente su singoli finanziamenti e portafogli di finanziamenti, destinata agli investimenti fissi dei comparti tipici del lungo termine (credito fondiario ed edilizio, il credito alle opere pubbliche, il credito agrario di miglioramento) per le medie imprese e </w:t>
      </w:r>
      <w:r w:rsidRPr="00386E61">
        <w:rPr>
          <w:rFonts w:cs="Times New Roman"/>
          <w:i/>
        </w:rPr>
        <w:t>small mid cap</w:t>
      </w:r>
      <w:r w:rsidRPr="00386E61">
        <w:rPr>
          <w:rFonts w:cs="Times New Roman"/>
        </w:rPr>
        <w:t>,</w:t>
      </w:r>
      <w:r w:rsidRPr="00386E61">
        <w:rPr>
          <w:rFonts w:cs="Times New Roman"/>
          <w:i/>
        </w:rPr>
        <w:t xml:space="preserve"> </w:t>
      </w:r>
      <w:r w:rsidRPr="00386E61">
        <w:rPr>
          <w:rFonts w:cs="Times New Roman"/>
        </w:rPr>
        <w:t xml:space="preserve">di importo superiore al limite ordinario di 2,5 milioni di euro e con una durata superiore a 10 anni. La garanzia del FCG (protetto dalla garanzia di ultima istanza dello Stato) concessa in agevolazione o a parametri di mercato potrebbe assicurare l’accesso al credito delle medie imprese e delle </w:t>
      </w:r>
      <w:r w:rsidRPr="00386E61">
        <w:rPr>
          <w:rFonts w:cs="Times New Roman"/>
          <w:i/>
        </w:rPr>
        <w:t>Small Mid Cup</w:t>
      </w:r>
      <w:r w:rsidRPr="00386E61">
        <w:rPr>
          <w:rFonts w:cs="Times New Roman"/>
        </w:rPr>
        <w:t xml:space="preserve"> anche per finanziare investimenti di più lungo periodo (e la crescita delle PMI).</w:t>
      </w:r>
    </w:p>
    <w:p w:rsidR="0026018B" w:rsidRPr="00386E61" w:rsidRDefault="0026018B" w:rsidP="0026018B">
      <w:pPr>
        <w:rPr>
          <w:rFonts w:cs="Times New Roman"/>
        </w:rPr>
      </w:pPr>
      <w:r w:rsidRPr="00386E61">
        <w:rPr>
          <w:rFonts w:cs="Times New Roman"/>
        </w:rPr>
        <w:t>Il comma 2 innalza a 3,5 milioni dell’importo massimo garantito dal Fondo centrale di garanzia PMI per operazioni su portafogli di finanziamento.</w:t>
      </w:r>
    </w:p>
    <w:p w:rsidR="00D35100" w:rsidRPr="002279E2" w:rsidRDefault="00D35100" w:rsidP="00612935">
      <w:pPr>
        <w:rPr>
          <w:rFonts w:cs="Times New Roman"/>
          <w:sz w:val="24"/>
          <w:szCs w:val="24"/>
        </w:rPr>
      </w:pPr>
    </w:p>
    <w:p w:rsidR="00D35100" w:rsidRPr="002279E2" w:rsidRDefault="006E3E75" w:rsidP="00120D49">
      <w:pPr>
        <w:pStyle w:val="Titolo2"/>
      </w:pPr>
      <w:bookmarkStart w:id="40" w:name="_Toc4174445"/>
      <w:bookmarkStart w:id="41" w:name="_Toc6937347"/>
      <w:r w:rsidRPr="002279E2">
        <w:t>Articolo</w:t>
      </w:r>
      <w:r w:rsidR="00D35100" w:rsidRPr="002279E2">
        <w:t xml:space="preserve"> </w:t>
      </w:r>
      <w:bookmarkStart w:id="42" w:name="_Toc4422040"/>
      <w:r w:rsidR="00832ECF" w:rsidRPr="002279E2">
        <w:t>1</w:t>
      </w:r>
      <w:r w:rsidR="00F523CA">
        <w:t>8</w:t>
      </w:r>
      <w:r w:rsidR="005F683D" w:rsidRPr="002279E2">
        <w:br/>
      </w:r>
      <w:r w:rsidR="00D35100" w:rsidRPr="002279E2">
        <w:t>(Norme in materia di semplificazione per la gestione del Fondo di garanzia per le PMI)</w:t>
      </w:r>
      <w:bookmarkEnd w:id="40"/>
      <w:bookmarkEnd w:id="41"/>
      <w:bookmarkEnd w:id="42"/>
    </w:p>
    <w:p w:rsidR="00D22AFF" w:rsidRPr="00830F65" w:rsidRDefault="00D22AFF" w:rsidP="00D22AFF">
      <w:pPr>
        <w:rPr>
          <w:rFonts w:cs="Times New Roman"/>
          <w:color w:val="auto"/>
        </w:rPr>
      </w:pPr>
      <w:r>
        <w:rPr>
          <w:rFonts w:cs="Times New Roman"/>
          <w:color w:val="auto"/>
        </w:rPr>
        <w:t>1</w:t>
      </w:r>
      <w:r w:rsidRPr="00830F65">
        <w:rPr>
          <w:rFonts w:cs="Times New Roman"/>
          <w:color w:val="auto"/>
        </w:rPr>
        <w:t>. All’articolo 18, comma 1, del decreto legislativo 31 marzo 1998, n. 112, alla lettera r) il secondo periodo è soppresso.</w:t>
      </w:r>
    </w:p>
    <w:p w:rsidR="00D22AFF" w:rsidRPr="00386E61" w:rsidRDefault="00D22AFF" w:rsidP="00D22AFF">
      <w:pPr>
        <w:rPr>
          <w:rFonts w:cs="Times New Roman"/>
          <w:color w:val="auto"/>
        </w:rPr>
      </w:pPr>
      <w:r>
        <w:rPr>
          <w:rFonts w:cs="Times New Roman"/>
          <w:color w:val="auto"/>
        </w:rPr>
        <w:t>2</w:t>
      </w:r>
      <w:r w:rsidRPr="00830F65">
        <w:rPr>
          <w:rFonts w:cs="Times New Roman"/>
          <w:color w:val="auto"/>
        </w:rPr>
        <w:t xml:space="preserve">. Nelle Regioni sul cui territorio, alla data di entrata in vigore del presente decreto, è già disposta la limitazione dell’intervento del predetto Fondo di garanzia per le piccole e medie imprese di cui all’articolo 2, comma 100, lettera a), della legge 23 dicembre 1996, n. 662, alla sola controgaranzia dei fondi di garanzia </w:t>
      </w:r>
      <w:r w:rsidRPr="00830F65">
        <w:rPr>
          <w:rFonts w:cs="Times New Roman"/>
          <w:color w:val="auto"/>
        </w:rPr>
        <w:lastRenderedPageBreak/>
        <w:t>regionali e dei consorzi di garanzia collettiva, la predetta limitazione rimane in vigore fino al termine di sei mesi dalla data di conversione del presente decreto o il minor termine previsto dalla delibera.</w:t>
      </w:r>
    </w:p>
    <w:p w:rsidR="00D22AFF" w:rsidRPr="00386E61" w:rsidRDefault="00D22AFF" w:rsidP="00D22AFF">
      <w:pPr>
        <w:rPr>
          <w:rFonts w:cs="Times New Roman"/>
          <w:color w:val="auto"/>
        </w:rPr>
      </w:pPr>
      <w:r>
        <w:rPr>
          <w:rFonts w:cs="Times New Roman"/>
          <w:color w:val="auto"/>
        </w:rPr>
        <w:t>3</w:t>
      </w:r>
      <w:r w:rsidRPr="00386E61">
        <w:rPr>
          <w:rFonts w:cs="Times New Roman"/>
          <w:color w:val="auto"/>
        </w:rPr>
        <w:t>. Al fine di sostenere lo sviluppo di canali alternativi di finanziamento delle imprese, la garanzia del Fondo di garanzia di cui all’articolo 2, comma 100, lettera a), della legge 23 dicembre 1996, n. 662, può essere concessa, a valere sulle ordinarie disponibilità del predetto Fondo, in favore dei soggetti che finanziano, per il tramite di piattaforme di “social lending” e di “crowdfunding”, progetti di investimento realizzati da micro, piccole e medie imprese, come definite dalla vigente normativa comunitaria, operanti nei settori di attività ammissibili all’intervento del Fondo.</w:t>
      </w:r>
    </w:p>
    <w:p w:rsidR="00D22AFF" w:rsidRPr="00386E61" w:rsidRDefault="00D22AFF" w:rsidP="00D50229">
      <w:pPr>
        <w:autoSpaceDE w:val="0"/>
        <w:autoSpaceDN w:val="0"/>
        <w:adjustRightInd w:val="0"/>
        <w:rPr>
          <w:rFonts w:cs="Times New Roman"/>
          <w:color w:val="auto"/>
        </w:rPr>
      </w:pPr>
      <w:r>
        <w:rPr>
          <w:rFonts w:cs="Times New Roman"/>
          <w:color w:val="auto"/>
        </w:rPr>
        <w:t>4</w:t>
      </w:r>
      <w:r w:rsidRPr="00386E61">
        <w:rPr>
          <w:rFonts w:cs="Times New Roman"/>
          <w:color w:val="auto"/>
        </w:rPr>
        <w:t xml:space="preserve">. Ai fini di cui al comma </w:t>
      </w:r>
      <w:r w:rsidR="007F242B" w:rsidRPr="00830F65">
        <w:rPr>
          <w:rFonts w:cs="Times New Roman"/>
          <w:color w:val="auto"/>
        </w:rPr>
        <w:t>3</w:t>
      </w:r>
      <w:r w:rsidRPr="00386E61">
        <w:rPr>
          <w:rFonts w:cs="Times New Roman"/>
          <w:color w:val="auto"/>
        </w:rPr>
        <w:t>:</w:t>
      </w:r>
    </w:p>
    <w:p w:rsidR="00D22AFF" w:rsidRPr="00386E61" w:rsidRDefault="00D22AFF" w:rsidP="00D50229">
      <w:pPr>
        <w:autoSpaceDE w:val="0"/>
        <w:autoSpaceDN w:val="0"/>
        <w:adjustRightInd w:val="0"/>
        <w:rPr>
          <w:rFonts w:cs="Times New Roman"/>
          <w:i/>
          <w:color w:val="auto"/>
        </w:rPr>
      </w:pPr>
      <w:r w:rsidRPr="00386E61">
        <w:rPr>
          <w:rFonts w:cs="Times New Roman"/>
          <w:color w:val="auto"/>
        </w:rPr>
        <w:t>a) per “</w:t>
      </w:r>
      <w:r w:rsidRPr="00386E61">
        <w:rPr>
          <w:rFonts w:cs="Times New Roman"/>
          <w:i/>
          <w:color w:val="auto"/>
        </w:rPr>
        <w:t xml:space="preserve">social lending” </w:t>
      </w:r>
      <w:r w:rsidRPr="00830F65">
        <w:rPr>
          <w:rFonts w:cs="Times New Roman"/>
          <w:color w:val="auto"/>
        </w:rPr>
        <w:t xml:space="preserve">si intende lo strumento attraverso il quale una pluralità di soggetti può richiedere a una pluralità di potenziali finanziatori, tramite piattaforme </w:t>
      </w:r>
      <w:r w:rsidRPr="00830F65">
        <w:rPr>
          <w:rFonts w:cs="Times New Roman"/>
          <w:i/>
          <w:color w:val="auto"/>
        </w:rPr>
        <w:t>on-line</w:t>
      </w:r>
      <w:r w:rsidRPr="00830F65">
        <w:rPr>
          <w:rFonts w:cs="Times New Roman"/>
          <w:color w:val="auto"/>
        </w:rPr>
        <w:t>, fondi rimborsabili per uso personale o per finanziare un progetto</w:t>
      </w:r>
      <w:r w:rsidRPr="00D50229">
        <w:rPr>
          <w:rFonts w:cs="Times New Roman"/>
          <w:color w:val="auto"/>
        </w:rPr>
        <w:t>;</w:t>
      </w:r>
    </w:p>
    <w:p w:rsidR="00D22AFF" w:rsidRPr="00386E61" w:rsidRDefault="00D22AFF" w:rsidP="00D50229">
      <w:pPr>
        <w:autoSpaceDE w:val="0"/>
        <w:autoSpaceDN w:val="0"/>
        <w:adjustRightInd w:val="0"/>
        <w:rPr>
          <w:rFonts w:cs="Times New Roman"/>
          <w:color w:val="auto"/>
        </w:rPr>
      </w:pPr>
      <w:r w:rsidRPr="00386E61">
        <w:rPr>
          <w:rFonts w:cs="Times New Roman"/>
          <w:i/>
          <w:color w:val="auto"/>
        </w:rPr>
        <w:t>b</w:t>
      </w:r>
      <w:r w:rsidRPr="00830F65">
        <w:rPr>
          <w:rFonts w:cs="Times New Roman"/>
          <w:color w:val="auto"/>
        </w:rPr>
        <w:t>) per “</w:t>
      </w:r>
      <w:r w:rsidRPr="00830F65">
        <w:rPr>
          <w:rFonts w:cs="Times New Roman"/>
          <w:i/>
          <w:color w:val="auto"/>
        </w:rPr>
        <w:t>crowdfunding</w:t>
      </w:r>
      <w:r w:rsidRPr="00386E61">
        <w:rPr>
          <w:rFonts w:cs="Times New Roman"/>
          <w:color w:val="auto"/>
        </w:rPr>
        <w:t xml:space="preserve">” si intende lo strumento attraverso il quale famiglie e imprese sono finanziate direttamente, </w:t>
      </w:r>
      <w:r w:rsidRPr="00830F65">
        <w:rPr>
          <w:rFonts w:cs="Times New Roman"/>
          <w:color w:val="auto"/>
        </w:rPr>
        <w:t xml:space="preserve">tramite piattaforme </w:t>
      </w:r>
      <w:r w:rsidRPr="00830F65">
        <w:rPr>
          <w:rFonts w:cs="Times New Roman"/>
          <w:i/>
          <w:color w:val="auto"/>
        </w:rPr>
        <w:t>on-line</w:t>
      </w:r>
      <w:r w:rsidRPr="00830F65">
        <w:rPr>
          <w:rFonts w:cs="Times New Roman"/>
          <w:color w:val="auto"/>
        </w:rPr>
        <w:t>,</w:t>
      </w:r>
      <w:r w:rsidRPr="00386E61">
        <w:rPr>
          <w:rFonts w:cs="Times New Roman"/>
          <w:color w:val="auto"/>
        </w:rPr>
        <w:t xml:space="preserve"> da una pluralità di investitori.</w:t>
      </w:r>
    </w:p>
    <w:p w:rsidR="00D22AFF" w:rsidRPr="00386E61" w:rsidRDefault="00D22AFF" w:rsidP="00D22AFF">
      <w:pPr>
        <w:rPr>
          <w:rFonts w:cs="Times New Roman"/>
          <w:color w:val="auto"/>
        </w:rPr>
      </w:pPr>
      <w:r>
        <w:rPr>
          <w:rFonts w:cs="Times New Roman"/>
          <w:color w:val="auto"/>
        </w:rPr>
        <w:t>5</w:t>
      </w:r>
      <w:r w:rsidRPr="00386E61">
        <w:rPr>
          <w:rFonts w:cs="Times New Roman"/>
          <w:color w:val="auto"/>
        </w:rPr>
        <w:t xml:space="preserve">. La garanzia di cui al comma </w:t>
      </w:r>
      <w:r w:rsidR="00DF4626" w:rsidRPr="00DF4626">
        <w:rPr>
          <w:rFonts w:cs="Times New Roman"/>
          <w:b/>
          <w:color w:val="FF0000"/>
        </w:rPr>
        <w:t>3</w:t>
      </w:r>
      <w:r w:rsidRPr="00386E61">
        <w:rPr>
          <w:rFonts w:cs="Times New Roman"/>
          <w:color w:val="auto"/>
        </w:rPr>
        <w:t xml:space="preserve"> è richiesta, per conto e nell’interesse dei soggetti finanziatori di cui al medesimo comma</w:t>
      </w:r>
      <w:r w:rsidRPr="00386E61">
        <w:rPr>
          <w:rFonts w:cs="Times New Roman"/>
          <w:b/>
          <w:color w:val="auto"/>
        </w:rPr>
        <w:t xml:space="preserve"> </w:t>
      </w:r>
      <w:r w:rsidR="00DF4626" w:rsidRPr="00DF4626">
        <w:rPr>
          <w:rFonts w:cs="Times New Roman"/>
          <w:b/>
          <w:color w:val="FF0000"/>
        </w:rPr>
        <w:t>3</w:t>
      </w:r>
      <w:r w:rsidRPr="00386E61">
        <w:rPr>
          <w:rFonts w:cs="Times New Roman"/>
          <w:color w:val="auto"/>
        </w:rPr>
        <w:t>, dai gestori di piattaforme di social lending o di crowdfunding preventivamente accreditati, a seguito di apposita valutazione effettuata dal Consiglio di gestione del Fondo di cui all’articolo 1, comma 48, lettera a), della legge 27 dicembre 2013, n. 147.</w:t>
      </w:r>
    </w:p>
    <w:p w:rsidR="00D22AFF" w:rsidRPr="00386E61" w:rsidRDefault="00772F3F" w:rsidP="00D22AFF">
      <w:pPr>
        <w:rPr>
          <w:rFonts w:cs="Times New Roman"/>
          <w:color w:val="auto"/>
        </w:rPr>
      </w:pPr>
      <w:r>
        <w:rPr>
          <w:rFonts w:cs="Times New Roman"/>
          <w:color w:val="auto"/>
        </w:rPr>
        <w:t>6</w:t>
      </w:r>
      <w:r w:rsidR="00D22AFF" w:rsidRPr="00386E61">
        <w:rPr>
          <w:rFonts w:cs="Times New Roman"/>
          <w:color w:val="auto"/>
        </w:rPr>
        <w:t>. Con decreto del Ministro dello sviluppo economico, di concerto con il Ministro dell’economia e delle finanze, sono stabilite le modalità e le condizioni di accesso al Fondo per i finanziamenti di cui ai commi</w:t>
      </w:r>
      <w:r w:rsidR="00D22AFF" w:rsidRPr="00D50229">
        <w:rPr>
          <w:rFonts w:cs="Times New Roman"/>
          <w:color w:val="auto"/>
        </w:rPr>
        <w:t xml:space="preserve"> </w:t>
      </w:r>
      <w:r w:rsidR="00DF4626" w:rsidRPr="00D50229">
        <w:rPr>
          <w:rFonts w:cs="Times New Roman"/>
          <w:color w:val="auto"/>
        </w:rPr>
        <w:t>3 e 5</w:t>
      </w:r>
      <w:r w:rsidR="00D22AFF" w:rsidRPr="00D50229">
        <w:rPr>
          <w:rFonts w:cs="Times New Roman"/>
          <w:color w:val="auto"/>
        </w:rPr>
        <w:t>,</w:t>
      </w:r>
      <w:r w:rsidR="00D22AFF" w:rsidRPr="00386E61">
        <w:rPr>
          <w:rFonts w:cs="Times New Roman"/>
          <w:color w:val="auto"/>
        </w:rPr>
        <w:t xml:space="preserve"> la misura massima della garanzia concedibile, che deve comunque assicurare un significativo coinvolgimento del soggetto finanziatore nel rischio dell’operazione, le modalità di retrocessione ai soggetti finanziatori delle somme derivanti dalla eventuali escussione e liquidazione della garanzia, nonché i criteri per l’accreditamento dei gestori e delle piattaforme di cui al comma </w:t>
      </w:r>
      <w:r w:rsidR="00DF4626" w:rsidRPr="00D50229">
        <w:rPr>
          <w:rFonts w:cs="Times New Roman"/>
          <w:color w:val="auto"/>
        </w:rPr>
        <w:t>5</w:t>
      </w:r>
      <w:r w:rsidR="00D22AFF" w:rsidRPr="00386E61">
        <w:rPr>
          <w:rFonts w:cs="Times New Roman"/>
          <w:color w:val="auto"/>
        </w:rPr>
        <w:t>, tra i quali rientrano la trasparenza della modalità di determinazione del prezzo dei finanziamenti, l’affidabilità del modello di valutazione della rischiosità dei prenditori, il rispetto delle norme che regolano le attività riservate dalla legge a particolari categorie di soggetti, ivi inclusa la raccolta del risparmio tra il pubblico sulla base di quanto previsto dalla normativa tecnica della Banca d’Italia.</w:t>
      </w:r>
    </w:p>
    <w:p w:rsidR="00D22AFF" w:rsidRPr="00386E61" w:rsidRDefault="00D22AFF" w:rsidP="00D22AFF">
      <w:pPr>
        <w:rPr>
          <w:rFonts w:cs="Times New Roman"/>
          <w:b/>
          <w:i/>
        </w:rPr>
      </w:pPr>
    </w:p>
    <w:p w:rsidR="00D22AFF" w:rsidRPr="00F16D89" w:rsidRDefault="00D22AFF" w:rsidP="00F16D89">
      <w:pPr>
        <w:jc w:val="center"/>
        <w:rPr>
          <w:rFonts w:cs="Times New Roman"/>
          <w:b/>
        </w:rPr>
      </w:pPr>
      <w:r w:rsidRPr="00F16D89">
        <w:rPr>
          <w:rFonts w:cs="Times New Roman"/>
          <w:b/>
        </w:rPr>
        <w:t>Relazione illustrativa</w:t>
      </w:r>
    </w:p>
    <w:p w:rsidR="00D22AFF" w:rsidRPr="00386E61" w:rsidRDefault="00D22AFF" w:rsidP="00D22AFF">
      <w:pPr>
        <w:rPr>
          <w:rFonts w:cs="Times New Roman"/>
        </w:rPr>
      </w:pPr>
      <w:r w:rsidRPr="00386E61">
        <w:rPr>
          <w:rFonts w:cs="Times New Roman"/>
        </w:rPr>
        <w:t xml:space="preserve">Con riferimento ai commi </w:t>
      </w:r>
      <w:r w:rsidR="00DF4626">
        <w:rPr>
          <w:rFonts w:cs="Times New Roman"/>
        </w:rPr>
        <w:t>1</w:t>
      </w:r>
      <w:r w:rsidRPr="00386E61">
        <w:rPr>
          <w:rFonts w:cs="Times New Roman"/>
        </w:rPr>
        <w:t xml:space="preserve"> e </w:t>
      </w:r>
      <w:r w:rsidR="00DF4626">
        <w:rPr>
          <w:rFonts w:cs="Times New Roman"/>
        </w:rPr>
        <w:t>2</w:t>
      </w:r>
      <w:r w:rsidRPr="00386E61">
        <w:rPr>
          <w:rFonts w:cs="Times New Roman"/>
        </w:rPr>
        <w:t xml:space="preserve"> si richiama l’articolo 18 del d.lgs. n. 112/98, che nell’elencare le funzioni amministrative conservate allo Stato, alla lettera </w:t>
      </w:r>
      <w:r w:rsidRPr="00386E61">
        <w:rPr>
          <w:rFonts w:cs="Times New Roman"/>
          <w:i/>
        </w:rPr>
        <w:t>r)</w:t>
      </w:r>
      <w:r w:rsidRPr="00386E61">
        <w:rPr>
          <w:rFonts w:cs="Times New Roman"/>
        </w:rPr>
        <w:t>, menziona “</w:t>
      </w:r>
      <w:r w:rsidRPr="00386E61">
        <w:rPr>
          <w:rFonts w:cs="Times New Roman"/>
          <w:i/>
        </w:rPr>
        <w:t>la gestione del Fondo di garanzia di cui all’articolo 2, comma 100, lettera a), della legge 23 dicembre 1996, n. 662</w:t>
      </w:r>
      <w:r w:rsidRPr="00386E61">
        <w:rPr>
          <w:rFonts w:cs="Times New Roman"/>
        </w:rPr>
        <w:t>”, disponendo altresì che “</w:t>
      </w:r>
      <w:r w:rsidRPr="00386E61">
        <w:rPr>
          <w:rFonts w:cs="Times New Roman"/>
          <w:i/>
        </w:rPr>
        <w:t>Con delibera della Conferenza unificata sono individuate, tenuto conto dell’esistenza di fondi regionali di garanzia, le regioni sul cui territorio il fondo limita il proprio intervento alla controgaranzia dei predetti fondi regionali e dei consorzi di garanzia collettiva fidi …</w:t>
      </w:r>
      <w:r w:rsidRPr="00386E61">
        <w:rPr>
          <w:rFonts w:cs="Times New Roman"/>
        </w:rPr>
        <w:t>”.</w:t>
      </w:r>
    </w:p>
    <w:p w:rsidR="00D22AFF" w:rsidRPr="00386E61" w:rsidRDefault="00D22AFF" w:rsidP="00D22AFF">
      <w:pPr>
        <w:rPr>
          <w:rFonts w:cs="Times New Roman"/>
        </w:rPr>
      </w:pPr>
      <w:r w:rsidRPr="00386E61">
        <w:rPr>
          <w:rFonts w:cs="Times New Roman"/>
        </w:rPr>
        <w:t xml:space="preserve">Obiettivo primario della disposizione è di conservare la gestione “accentrata” del Fondo di garanzia per le PMI. Il Legislatore ha, dunque, scartato la scelta della “regionalizzazione” del </w:t>
      </w:r>
      <w:r w:rsidRPr="00386E61">
        <w:rPr>
          <w:rFonts w:cs="Times New Roman"/>
          <w:i/>
        </w:rPr>
        <w:t>Fondo di garanzia per le PMI</w:t>
      </w:r>
      <w:r w:rsidRPr="00386E61">
        <w:rPr>
          <w:rFonts w:cs="Times New Roman"/>
        </w:rPr>
        <w:t>, nella consapevolezza che un fondo di garanzia è tanto più efficace ed efficiente quanto più il suo portafoglio garanzie è esteso, granulare e differenziato (settorialmente, geograficamente, ecc.), delineando un sistema in cui l’intervento nazionale di garanzia può ritrarsi davanti a un sistema regionale della garanzia che risulti solido, strutturato ed efficace rispetto all’obiettivo di assicurare il più ampio accesso al credito da parte delle PMI.</w:t>
      </w:r>
    </w:p>
    <w:p w:rsidR="00D22AFF" w:rsidRPr="00386E61" w:rsidRDefault="00D22AFF" w:rsidP="00D22AFF">
      <w:pPr>
        <w:rPr>
          <w:rFonts w:cs="Times New Roman"/>
        </w:rPr>
      </w:pPr>
      <w:r w:rsidRPr="00386E61">
        <w:rPr>
          <w:rFonts w:cs="Times New Roman"/>
        </w:rPr>
        <w:t xml:space="preserve">Tuttavia, molte Regioni stanno recentemente facendo ricorso alla </w:t>
      </w:r>
      <w:r w:rsidRPr="00386E61">
        <w:rPr>
          <w:rFonts w:cs="Times New Roman"/>
          <w:i/>
        </w:rPr>
        <w:t>lettera r)</w:t>
      </w:r>
      <w:r w:rsidRPr="00386E61">
        <w:rPr>
          <w:rFonts w:cs="Times New Roman"/>
        </w:rPr>
        <w:t xml:space="preserve"> per un motivo diametralmente opposto a quello previsto dalla norma: sostenere i confidi in difficoltà, assicurando loro una sorta di monopolio nell’accesso alla garanzia del Fondo. Infatti, con l’attivazione della </w:t>
      </w:r>
      <w:r w:rsidRPr="00386E61">
        <w:rPr>
          <w:rFonts w:cs="Times New Roman"/>
          <w:i/>
        </w:rPr>
        <w:t>lettera r)</w:t>
      </w:r>
      <w:r w:rsidRPr="00386E61">
        <w:rPr>
          <w:rFonts w:cs="Times New Roman"/>
        </w:rPr>
        <w:t>, le PMI regionali possono accedere al Fondo di garanzia solo se si associano a un confidi (sostenendone i relativi costi), restando precluso l’intervento diretto tramite la banca finanziatrice.</w:t>
      </w:r>
    </w:p>
    <w:p w:rsidR="00D22AFF" w:rsidRPr="00386E61" w:rsidRDefault="00D22AFF" w:rsidP="00D22AFF">
      <w:pPr>
        <w:rPr>
          <w:rFonts w:cs="Times New Roman"/>
        </w:rPr>
      </w:pPr>
      <w:r w:rsidRPr="00386E61">
        <w:rPr>
          <w:rFonts w:cs="Times New Roman"/>
        </w:rPr>
        <w:t xml:space="preserve">Nelle Regioni che hanno, finora, fatto ricorso alla </w:t>
      </w:r>
      <w:r w:rsidRPr="00386E61">
        <w:rPr>
          <w:rFonts w:cs="Times New Roman"/>
          <w:i/>
        </w:rPr>
        <w:t>lettera r)</w:t>
      </w:r>
      <w:r w:rsidRPr="00386E61">
        <w:rPr>
          <w:rFonts w:cs="Times New Roman"/>
        </w:rPr>
        <w:t xml:space="preserve"> si è osservato un netto calo dell’operatività del Fondo di garanzia. In questi termini, l’attivazione della </w:t>
      </w:r>
      <w:r w:rsidRPr="00386E61">
        <w:rPr>
          <w:rFonts w:cs="Times New Roman"/>
          <w:i/>
        </w:rPr>
        <w:t>lettera r)</w:t>
      </w:r>
      <w:r w:rsidRPr="00386E61">
        <w:rPr>
          <w:rFonts w:cs="Times New Roman"/>
        </w:rPr>
        <w:t xml:space="preserve"> introduce un barriera all’accesso al Fondo di garanzia (nella modalità della “garanzia diretta”) e si risolve, per quanto esposto, in un evidente danno per le PMI.</w:t>
      </w:r>
    </w:p>
    <w:p w:rsidR="00D22AFF" w:rsidRPr="00386E61" w:rsidRDefault="00D22AFF" w:rsidP="00D22AFF">
      <w:pPr>
        <w:rPr>
          <w:rFonts w:cs="Times New Roman"/>
        </w:rPr>
      </w:pPr>
      <w:r w:rsidRPr="00386E61">
        <w:rPr>
          <w:rFonts w:cs="Times New Roman"/>
        </w:rPr>
        <w:t xml:space="preserve">Pertanto, si propone di abrogare il secondo periodo della citata disposizione, lasciando che le misure di sostegno all’attività dei confidi – attori sicuramente importanti per ampliare e facilitare l’accesso al credito delle PMI – trovino una diversa e più appropriata collocazione, con soluzioni efficaci e proporzionate e mai a danno delle imprese. La norma ha comunque cura di consentire un congruo periodo di adeguamento nei </w:t>
      </w:r>
      <w:r w:rsidRPr="00386E61">
        <w:rPr>
          <w:rFonts w:cs="Times New Roman"/>
        </w:rPr>
        <w:lastRenderedPageBreak/>
        <w:t>territori regionali che già hanno aderito alla facoltà prevista dalla lettera r), prevedendo che la limitazione dell’intervento del Fondo alla controgaranzia rimanga in vigore fino al termine di sei mesi dalla data di conversione del presente decreto o il minor termine previsto dalla delibera.</w:t>
      </w:r>
    </w:p>
    <w:p w:rsidR="00D22AFF" w:rsidRPr="00386E61" w:rsidRDefault="00D22AFF" w:rsidP="00D22AFF">
      <w:pPr>
        <w:rPr>
          <w:rFonts w:cs="Times New Roman"/>
        </w:rPr>
      </w:pPr>
      <w:r w:rsidRPr="00386E61">
        <w:rPr>
          <w:rFonts w:cs="Times New Roman"/>
        </w:rPr>
        <w:t xml:space="preserve">Al riguardo, si rileva che il Governo, anche nell’ambito del recente progetto di </w:t>
      </w:r>
      <w:r w:rsidRPr="00386E61">
        <w:rPr>
          <w:rFonts w:cs="Times New Roman"/>
          <w:i/>
        </w:rPr>
        <w:t>riforma del Fondo di garanzia</w:t>
      </w:r>
      <w:r w:rsidRPr="00386E61">
        <w:rPr>
          <w:rFonts w:cs="Times New Roman"/>
        </w:rPr>
        <w:t xml:space="preserve"> ha significativamente revisionato le modalità di intervento del Fondo, introducendo nuovi e importanti spazi per l’operatività proprio dei confidi.</w:t>
      </w:r>
    </w:p>
    <w:p w:rsidR="00D22AFF" w:rsidRPr="00386E61" w:rsidRDefault="00D22AFF" w:rsidP="00D22AFF">
      <w:pPr>
        <w:rPr>
          <w:rFonts w:cs="Times New Roman"/>
        </w:rPr>
      </w:pPr>
      <w:r w:rsidRPr="00386E61">
        <w:rPr>
          <w:rFonts w:cs="Times New Roman"/>
        </w:rPr>
        <w:t xml:space="preserve">Il riconoscimento di una misura di controgaranzia al 100% in favore dei confidi più solidi, le “operazioni a rischio tripartito”, la possibilità di modulare la misura della garanzia del confidi con la misura della riassicurazione richiesta al Fondo, la completa “delega” nella valutazione delle richieste di garanzie riferite a imprese </w:t>
      </w:r>
      <w:r w:rsidRPr="00386E61">
        <w:rPr>
          <w:rFonts w:cs="Times New Roman"/>
          <w:i/>
        </w:rPr>
        <w:t xml:space="preserve">start-up </w:t>
      </w:r>
      <w:r w:rsidRPr="00386E61">
        <w:rPr>
          <w:rFonts w:cs="Times New Roman"/>
        </w:rPr>
        <w:t>e di finanziamenti con importo ridotto, la possibilità di portare la misura della riassicurazione al 90% se co-finanziata con risorse regionali, la destinazione di 225 milioni di euro di risorse del Fondo di garanzia ai fondi rischi dei confidi, rappresentano strumenti in grado di rilanciare significativamente il ruolo e l’attività dei confidi.</w:t>
      </w:r>
    </w:p>
    <w:p w:rsidR="00D22AFF" w:rsidRPr="00386E61" w:rsidRDefault="00D22AFF" w:rsidP="00D22AFF">
      <w:pPr>
        <w:rPr>
          <w:rFonts w:cs="Times New Roman"/>
        </w:rPr>
      </w:pPr>
      <w:r w:rsidRPr="00386E61">
        <w:rPr>
          <w:rFonts w:cs="Times New Roman"/>
        </w:rPr>
        <w:t xml:space="preserve">Soluzioni, quelle elencate, che fanno leva su meccanismi di incentivazione e di premialità e non, come nel caso della </w:t>
      </w:r>
      <w:r w:rsidRPr="00386E61">
        <w:rPr>
          <w:rFonts w:cs="Times New Roman"/>
          <w:i/>
        </w:rPr>
        <w:t>lettera r)</w:t>
      </w:r>
      <w:r w:rsidRPr="00386E61">
        <w:rPr>
          <w:rFonts w:cs="Times New Roman"/>
        </w:rPr>
        <w:t>, su anacronistiche barriere di accesso e limitazioni della concorrenza e che, soprattutto, offrono nuove opportunità anche alle imprese, favorendole e non danneggiandole.</w:t>
      </w:r>
    </w:p>
    <w:p w:rsidR="00D22AFF" w:rsidRPr="00386E61" w:rsidRDefault="00D22AFF" w:rsidP="00D22AFF">
      <w:pPr>
        <w:rPr>
          <w:rFonts w:cs="Times New Roman"/>
        </w:rPr>
      </w:pPr>
    </w:p>
    <w:p w:rsidR="00D22AFF" w:rsidRPr="00386E61" w:rsidRDefault="00D22AFF" w:rsidP="00D22AFF">
      <w:pPr>
        <w:rPr>
          <w:rFonts w:cs="Times New Roman"/>
        </w:rPr>
      </w:pPr>
      <w:r w:rsidRPr="00386E61">
        <w:rPr>
          <w:rFonts w:cs="Times New Roman"/>
        </w:rPr>
        <w:t xml:space="preserve">I commi da </w:t>
      </w:r>
      <w:r w:rsidR="0026018B" w:rsidRPr="00F16D89">
        <w:rPr>
          <w:rFonts w:cs="Times New Roman"/>
          <w:color w:val="auto"/>
        </w:rPr>
        <w:t>3</w:t>
      </w:r>
      <w:r w:rsidRPr="00F16D89">
        <w:rPr>
          <w:rFonts w:cs="Times New Roman"/>
          <w:color w:val="auto"/>
        </w:rPr>
        <w:t xml:space="preserve"> a </w:t>
      </w:r>
      <w:r w:rsidR="0026018B" w:rsidRPr="00F16D89">
        <w:rPr>
          <w:rFonts w:cs="Times New Roman"/>
          <w:color w:val="auto"/>
        </w:rPr>
        <w:t>6</w:t>
      </w:r>
      <w:r w:rsidRPr="00F16D89">
        <w:rPr>
          <w:rFonts w:cs="Times New Roman"/>
          <w:color w:val="auto"/>
        </w:rPr>
        <w:t xml:space="preserve"> </w:t>
      </w:r>
      <w:r w:rsidRPr="00386E61">
        <w:rPr>
          <w:rFonts w:cs="Times New Roman"/>
        </w:rPr>
        <w:t xml:space="preserve">si occupano della disciplina del </w:t>
      </w:r>
      <w:r w:rsidRPr="00830F65">
        <w:rPr>
          <w:rFonts w:cs="Times New Roman"/>
          <w:i/>
        </w:rPr>
        <w:t>social lending</w:t>
      </w:r>
      <w:r w:rsidRPr="00386E61">
        <w:rPr>
          <w:rFonts w:cs="Times New Roman"/>
        </w:rPr>
        <w:t xml:space="preserve"> e del </w:t>
      </w:r>
      <w:r w:rsidRPr="00830F65">
        <w:rPr>
          <w:rFonts w:cs="Times New Roman"/>
          <w:i/>
        </w:rPr>
        <w:t>crowdfunding</w:t>
      </w:r>
      <w:r w:rsidRPr="00386E61">
        <w:rPr>
          <w:rFonts w:cs="Times New Roman"/>
        </w:rPr>
        <w:t xml:space="preserve"> che rappresentano uno dei i fenomeni più interessanti e innovativi nel panorama finanziario. </w:t>
      </w:r>
    </w:p>
    <w:p w:rsidR="00D22AFF" w:rsidRPr="00386E61" w:rsidRDefault="00D22AFF" w:rsidP="00D22AFF">
      <w:pPr>
        <w:rPr>
          <w:rFonts w:cs="Times New Roman"/>
        </w:rPr>
      </w:pPr>
      <w:r w:rsidRPr="00386E61">
        <w:rPr>
          <w:rFonts w:cs="Times New Roman"/>
        </w:rPr>
        <w:t xml:space="preserve">Attraverso il </w:t>
      </w:r>
      <w:r w:rsidRPr="00386E61">
        <w:rPr>
          <w:rFonts w:cs="Times New Roman"/>
          <w:i/>
        </w:rPr>
        <w:t>social lending</w:t>
      </w:r>
      <w:r w:rsidRPr="00386E61">
        <w:rPr>
          <w:rFonts w:cs="Times New Roman"/>
        </w:rPr>
        <w:t xml:space="preserve"> una pluralità di soggetti può richiedere a una pluralità di potenziali finanziatori, tramite piattaforme on-line, fondi rimborsabili per uso personale o per finanziare un progetto. Invece, con lo strumento del “</w:t>
      </w:r>
      <w:r w:rsidRPr="00386E61">
        <w:rPr>
          <w:rFonts w:cs="Times New Roman"/>
          <w:i/>
        </w:rPr>
        <w:t>crowdfunding</w:t>
      </w:r>
      <w:r w:rsidRPr="00386E61">
        <w:rPr>
          <w:rFonts w:cs="Times New Roman"/>
        </w:rPr>
        <w:t xml:space="preserve">”,  </w:t>
      </w:r>
      <w:r w:rsidRPr="00386E61">
        <w:rPr>
          <w:rFonts w:cs="Times New Roman"/>
          <w:color w:val="auto"/>
          <w:sz w:val="24"/>
          <w:szCs w:val="24"/>
        </w:rPr>
        <w:t xml:space="preserve">famiglie e imprese sono finanziate direttamente, </w:t>
      </w:r>
      <w:r w:rsidRPr="00386E61">
        <w:rPr>
          <w:rFonts w:cs="Times New Roman"/>
        </w:rPr>
        <w:t xml:space="preserve">tramite piattaforme </w:t>
      </w:r>
      <w:r w:rsidRPr="00386E61">
        <w:rPr>
          <w:rFonts w:cs="Times New Roman"/>
          <w:i/>
        </w:rPr>
        <w:t>on-line</w:t>
      </w:r>
      <w:r w:rsidRPr="00386E61">
        <w:rPr>
          <w:rFonts w:cs="Times New Roman"/>
        </w:rPr>
        <w:t>,</w:t>
      </w:r>
      <w:r w:rsidRPr="00386E61">
        <w:rPr>
          <w:rFonts w:cs="Times New Roman"/>
          <w:color w:val="auto"/>
          <w:sz w:val="24"/>
          <w:szCs w:val="24"/>
        </w:rPr>
        <w:t xml:space="preserve"> da una pluralità di investitori.</w:t>
      </w:r>
    </w:p>
    <w:p w:rsidR="00D22AFF" w:rsidRPr="00386E61" w:rsidRDefault="00D22AFF" w:rsidP="00D22AFF">
      <w:pPr>
        <w:rPr>
          <w:rFonts w:cs="Times New Roman"/>
        </w:rPr>
      </w:pPr>
      <w:r w:rsidRPr="00386E61">
        <w:rPr>
          <w:rFonts w:cs="Times New Roman"/>
        </w:rPr>
        <w:t xml:space="preserve">In Italia, il </w:t>
      </w:r>
      <w:r w:rsidRPr="00386E61">
        <w:rPr>
          <w:rFonts w:cs="Times New Roman"/>
          <w:i/>
        </w:rPr>
        <w:t>social lending</w:t>
      </w:r>
      <w:r w:rsidRPr="00386E61">
        <w:rPr>
          <w:rFonts w:cs="Times New Roman"/>
        </w:rPr>
        <w:t xml:space="preserve"> e il crowdfunding, non è ancora particolarmente sviluppato, soprattutto rispetto alla situazione registrata in altri importanti Paesi.</w:t>
      </w:r>
    </w:p>
    <w:p w:rsidR="00D22AFF" w:rsidRPr="00386E61" w:rsidRDefault="00D22AFF" w:rsidP="00D22AFF">
      <w:pPr>
        <w:rPr>
          <w:rFonts w:cs="Times New Roman"/>
        </w:rPr>
      </w:pPr>
      <w:r w:rsidRPr="00386E61">
        <w:rPr>
          <w:rFonts w:cs="Times New Roman"/>
        </w:rPr>
        <w:t xml:space="preserve">Di </w:t>
      </w:r>
      <w:r w:rsidRPr="00386E61">
        <w:rPr>
          <w:rFonts w:cs="Times New Roman"/>
          <w:i/>
        </w:rPr>
        <w:t>social lending</w:t>
      </w:r>
      <w:r w:rsidRPr="00386E61">
        <w:rPr>
          <w:rFonts w:cs="Times New Roman"/>
        </w:rPr>
        <w:t xml:space="preserve"> e di crowdfunding si è recentemente occupata anche la Banca d’Italia, emanando specifiche disposizioni (vedi provvedimento dell’8 novembre 2016) per lo svolgimento di detta attività.</w:t>
      </w:r>
    </w:p>
    <w:p w:rsidR="00D22AFF" w:rsidRPr="00386E61" w:rsidRDefault="00D22AFF" w:rsidP="00D22AFF">
      <w:pPr>
        <w:rPr>
          <w:rFonts w:cs="Times New Roman"/>
        </w:rPr>
      </w:pPr>
      <w:r w:rsidRPr="00386E61">
        <w:rPr>
          <w:rFonts w:cs="Times New Roman"/>
        </w:rPr>
        <w:t xml:space="preserve">Tutto ciò premesso – in un contesto in cui l’accesso al credito bancario per le imprese italiane di piccola dimensione continua a essere, come evidenziato da tutte le più recenti analisi, particolarmente difficile – , il </w:t>
      </w:r>
      <w:r w:rsidRPr="00386E61">
        <w:rPr>
          <w:rFonts w:cs="Times New Roman"/>
          <w:i/>
        </w:rPr>
        <w:t>social lending</w:t>
      </w:r>
      <w:r w:rsidRPr="00386E61">
        <w:rPr>
          <w:rFonts w:cs="Times New Roman"/>
        </w:rPr>
        <w:t xml:space="preserve"> ed il crowdfunding può rappresentare, sulla scia delle positive esperienze internazionali, un canale alternativo e strategico di accesso ai capitali da parte delle PMI.</w:t>
      </w:r>
    </w:p>
    <w:p w:rsidR="00D22AFF" w:rsidRPr="00386E61" w:rsidRDefault="00D22AFF" w:rsidP="00D22AFF">
      <w:pPr>
        <w:tabs>
          <w:tab w:val="left" w:pos="851"/>
        </w:tabs>
        <w:rPr>
          <w:rFonts w:cs="Times New Roman"/>
        </w:rPr>
      </w:pPr>
      <w:r w:rsidRPr="00386E61">
        <w:rPr>
          <w:rFonts w:cs="Times New Roman"/>
        </w:rPr>
        <w:t xml:space="preserve">La norma proposta è finalizzata a sostenere lo sviluppo, in Italia, del </w:t>
      </w:r>
      <w:r w:rsidRPr="00386E61">
        <w:rPr>
          <w:rFonts w:cs="Times New Roman"/>
          <w:i/>
        </w:rPr>
        <w:t>social lending</w:t>
      </w:r>
      <w:r w:rsidRPr="00386E61">
        <w:rPr>
          <w:rFonts w:cs="Times New Roman"/>
        </w:rPr>
        <w:t>, valorizzando le potenzialità del nuovo mercato in termini di ampliamento e diversificazione dei canali di finanziamento a disposizione delle piccole e medie imprese.</w:t>
      </w:r>
    </w:p>
    <w:p w:rsidR="00D22AFF" w:rsidRPr="00386E61" w:rsidRDefault="00D22AFF" w:rsidP="00D22AFF">
      <w:pPr>
        <w:tabs>
          <w:tab w:val="left" w:pos="851"/>
        </w:tabs>
        <w:rPr>
          <w:rFonts w:cs="Times New Roman"/>
        </w:rPr>
      </w:pPr>
      <w:r w:rsidRPr="00386E61">
        <w:rPr>
          <w:rFonts w:cs="Times New Roman"/>
        </w:rPr>
        <w:t xml:space="preserve">A tal fine, è prevista la possibilità di accesso al Fondo di garanzia per le piccole e medie imprese di cui all’articolo 2, comma 100, lettera </w:t>
      </w:r>
      <w:r w:rsidRPr="00386E61">
        <w:rPr>
          <w:rFonts w:cs="Times New Roman"/>
          <w:i/>
        </w:rPr>
        <w:t>a)</w:t>
      </w:r>
      <w:r w:rsidRPr="00386E61">
        <w:rPr>
          <w:rFonts w:cs="Times New Roman"/>
        </w:rPr>
        <w:t xml:space="preserve">, delle legge n. 662 del 1996 in relazione, appunto, a finanziamenti erogati, per il tramite di piattaforme di </w:t>
      </w:r>
      <w:r w:rsidRPr="00386E61">
        <w:rPr>
          <w:rFonts w:cs="Times New Roman"/>
          <w:i/>
        </w:rPr>
        <w:t>social lending e crowdfunding</w:t>
      </w:r>
      <w:r w:rsidRPr="00386E61">
        <w:rPr>
          <w:rFonts w:cs="Times New Roman"/>
        </w:rPr>
        <w:t>, a piccole e medie imprese.</w:t>
      </w:r>
    </w:p>
    <w:p w:rsidR="00D22AFF" w:rsidRPr="00386E61" w:rsidRDefault="00D22AFF" w:rsidP="00D22AFF">
      <w:pPr>
        <w:tabs>
          <w:tab w:val="left" w:pos="851"/>
        </w:tabs>
        <w:rPr>
          <w:rFonts w:cs="Times New Roman"/>
        </w:rPr>
      </w:pPr>
      <w:r w:rsidRPr="00386E61">
        <w:rPr>
          <w:rFonts w:cs="Times New Roman"/>
        </w:rPr>
        <w:t xml:space="preserve">La concessione della garanzia del Fondo, migliorando il profilo di rischio/rendimento per il finanziatore/investitore può costituire, in tale ottica, una leva importante per lo sviluppo e il consolidamento del </w:t>
      </w:r>
      <w:r w:rsidRPr="00386E61">
        <w:rPr>
          <w:rFonts w:cs="Times New Roman"/>
          <w:i/>
        </w:rPr>
        <w:t>social lending</w:t>
      </w:r>
      <w:r w:rsidRPr="00386E61">
        <w:rPr>
          <w:rFonts w:cs="Times New Roman"/>
        </w:rPr>
        <w:t xml:space="preserve"> in Italia.</w:t>
      </w:r>
    </w:p>
    <w:p w:rsidR="00D22AFF" w:rsidRPr="00386E61" w:rsidRDefault="00D22AFF" w:rsidP="00D22AFF">
      <w:pPr>
        <w:tabs>
          <w:tab w:val="left" w:pos="851"/>
        </w:tabs>
        <w:rPr>
          <w:rFonts w:cs="Times New Roman"/>
        </w:rPr>
      </w:pPr>
      <w:r w:rsidRPr="00386E61">
        <w:rPr>
          <w:rFonts w:cs="Times New Roman"/>
        </w:rPr>
        <w:t xml:space="preserve">Tuttavia, l’estensione della garanzia ai finanziamenti di </w:t>
      </w:r>
      <w:r w:rsidRPr="00386E61">
        <w:rPr>
          <w:rFonts w:cs="Times New Roman"/>
          <w:i/>
        </w:rPr>
        <w:t>social lending</w:t>
      </w:r>
      <w:r w:rsidRPr="00386E61">
        <w:rPr>
          <w:rFonts w:cs="Times New Roman"/>
        </w:rPr>
        <w:t xml:space="preserve"> e crowdfunding impone anche alcune cautele, connessi ai possibili rischi associati al </w:t>
      </w:r>
      <w:r w:rsidRPr="00386E61">
        <w:rPr>
          <w:rFonts w:cs="Times New Roman"/>
          <w:i/>
        </w:rPr>
        <w:t xml:space="preserve">social lending e crowdfunding </w:t>
      </w:r>
      <w:r w:rsidRPr="00386E61">
        <w:rPr>
          <w:rFonts w:cs="Times New Roman"/>
        </w:rPr>
        <w:t>. Tra questi, ad esempio, il rischio di un’allocazione non efficiente del risparmio (le piattaforme, non assumendo rischio di credito, potrebbero, infatti, non avere i giusti incentivi a selezionare in modo accurato i debitori) e di stabilità finanziaria (una potenziale, scarsa qualità del credito erogato unita a un peggioramento del ciclo economico e al connesso aumento delle sofferenze potrebbe minare la fiducia degli investitori nella capacità di selezionare la clientela da parte delle piattaforme, facendone diminuire rapidamente l’operatività e compromettendone la stabilità). Altro importante rischio, che vede potenzialmente esposti prenditori finanziatori/investitori, può derivare da una mancanza di trasparenza delle condizioni applicate al prestito.</w:t>
      </w:r>
    </w:p>
    <w:p w:rsidR="00D22AFF" w:rsidRPr="00386E61" w:rsidRDefault="00D22AFF" w:rsidP="00D22AFF">
      <w:pPr>
        <w:tabs>
          <w:tab w:val="left" w:pos="851"/>
        </w:tabs>
        <w:rPr>
          <w:rFonts w:cs="Times New Roman"/>
        </w:rPr>
      </w:pPr>
      <w:r w:rsidRPr="00386E61">
        <w:rPr>
          <w:rFonts w:cs="Times New Roman"/>
        </w:rPr>
        <w:t xml:space="preserve">A tal riguardo, la norma prevede che, ai fini dell’accesso alla garanzia del Fondo, le piattaforme di </w:t>
      </w:r>
      <w:r w:rsidRPr="00386E61">
        <w:rPr>
          <w:rFonts w:cs="Times New Roman"/>
          <w:i/>
        </w:rPr>
        <w:t>social lending</w:t>
      </w:r>
      <w:r w:rsidRPr="00386E61">
        <w:rPr>
          <w:rFonts w:cs="Times New Roman"/>
        </w:rPr>
        <w:t xml:space="preserve"> e di </w:t>
      </w:r>
      <w:r w:rsidRPr="00386E61">
        <w:rPr>
          <w:rFonts w:cs="Times New Roman"/>
          <w:i/>
        </w:rPr>
        <w:t>crowdfunding</w:t>
      </w:r>
      <w:r w:rsidRPr="00386E61">
        <w:rPr>
          <w:rFonts w:cs="Times New Roman"/>
        </w:rPr>
        <w:t xml:space="preserve"> debbano essere preventivamente accreditate, a seguito di un’apposita valutazione effettuata dal Consiglio di gestione del Fondo.</w:t>
      </w:r>
    </w:p>
    <w:p w:rsidR="00D22AFF" w:rsidRPr="00386E61" w:rsidRDefault="00D22AFF" w:rsidP="00D22AFF">
      <w:pPr>
        <w:tabs>
          <w:tab w:val="left" w:pos="851"/>
        </w:tabs>
        <w:rPr>
          <w:rFonts w:cs="Times New Roman"/>
        </w:rPr>
      </w:pPr>
      <w:r w:rsidRPr="00386E61">
        <w:rPr>
          <w:rFonts w:cs="Times New Roman"/>
        </w:rPr>
        <w:t xml:space="preserve">La norma rinvia, infine, a un decreto ministeriale la disciplina delle modalità e delle condizioni di accesso al Fondo, la determinazione della misura massima della garanzia concedibile, nonché i criteri per l’accreditamento delle piattaforme di </w:t>
      </w:r>
      <w:r w:rsidRPr="00386E61">
        <w:rPr>
          <w:rFonts w:cs="Times New Roman"/>
          <w:i/>
        </w:rPr>
        <w:t>social lending</w:t>
      </w:r>
      <w:r w:rsidRPr="00386E61">
        <w:rPr>
          <w:rFonts w:cs="Times New Roman"/>
        </w:rPr>
        <w:t xml:space="preserve"> e di </w:t>
      </w:r>
      <w:r w:rsidRPr="00386E61">
        <w:rPr>
          <w:rFonts w:cs="Times New Roman"/>
          <w:i/>
        </w:rPr>
        <w:t>crowdfunding</w:t>
      </w:r>
      <w:r w:rsidRPr="00386E61">
        <w:rPr>
          <w:rFonts w:cs="Times New Roman"/>
        </w:rPr>
        <w:t xml:space="preserve">, stabilendo, al riguardo, che tra tali </w:t>
      </w:r>
      <w:r w:rsidRPr="00386E61">
        <w:rPr>
          <w:rFonts w:cs="Times New Roman"/>
        </w:rPr>
        <w:lastRenderedPageBreak/>
        <w:t>criteri debbano comunque figurare, in considerazione dei rischi potenziali sopra richiamati, la trasparenza della modalità di determinazione del prezzo dei finanziamenti, l’affidabilità del modello di valutazione della rischiosità dei prenditori e il rispetto delle norme che regolano le attività riservate dalla legge a particolari categorie di soggetti.</w:t>
      </w:r>
    </w:p>
    <w:p w:rsidR="00D22AFF" w:rsidRPr="00386E61" w:rsidRDefault="00D22AFF" w:rsidP="00D22AFF">
      <w:pPr>
        <w:rPr>
          <w:rFonts w:cs="Times New Roman"/>
        </w:rPr>
      </w:pPr>
    </w:p>
    <w:p w:rsidR="00D22AFF" w:rsidRPr="00F16D89" w:rsidRDefault="00D22AFF" w:rsidP="00F16D89">
      <w:pPr>
        <w:jc w:val="center"/>
        <w:rPr>
          <w:rFonts w:cs="Times New Roman"/>
          <w:b/>
        </w:rPr>
      </w:pPr>
      <w:r w:rsidRPr="00F16D89">
        <w:rPr>
          <w:rFonts w:cs="Times New Roman"/>
          <w:b/>
        </w:rPr>
        <w:t>Relazione tecnica</w:t>
      </w:r>
    </w:p>
    <w:p w:rsidR="00D22AFF" w:rsidRPr="00386E61" w:rsidRDefault="00D22AFF" w:rsidP="00D22AFF">
      <w:pPr>
        <w:rPr>
          <w:rFonts w:cs="Times New Roman"/>
          <w:i/>
        </w:rPr>
      </w:pPr>
      <w:r w:rsidRPr="00386E61">
        <w:rPr>
          <w:rFonts w:cs="Times New Roman"/>
        </w:rPr>
        <w:t>La norma non comporta nuovi o maggiori oneri per le finanze pubbliche. L’eventuale incremento dell’operatività del Fondo che potrebbe determinarsi per effetto della norma nei territori che attualmente hanno aderito alla limitazione di cui all’articolo 18, comma 1, lettera r) del decreto legislativo 31 marzo 1998, n. 112, oltre ad essere caratterizzata da gradualità anche per effetto della disposizione di natura transitoria di cui al comma 2, avverrà nell’ambito della medesima dotazione finanziaria del Fondo.</w:t>
      </w:r>
    </w:p>
    <w:p w:rsidR="00D22AFF" w:rsidRPr="00386E61" w:rsidRDefault="00D22AFF" w:rsidP="00D22AFF">
      <w:pPr>
        <w:rPr>
          <w:rFonts w:cs="Times New Roman"/>
        </w:rPr>
      </w:pPr>
      <w:r w:rsidRPr="00386E61">
        <w:rPr>
          <w:rFonts w:cs="Times New Roman"/>
        </w:rPr>
        <w:t xml:space="preserve">Con riferimento al social lending e al crowdfunding la norma non produce effetti sul bilancio dello Stato degni di particolare nota e sarebbe comunque coperta con le attuali disponibilità finanziarie del Fondo, proprio in relazione ai modesti effetti finanziari associati all’estensione della garanzia alle predette piattaforme. Infatti, come anticipato, la dimensione del mercato italiano del </w:t>
      </w:r>
      <w:r w:rsidRPr="00386E61">
        <w:rPr>
          <w:rFonts w:cs="Times New Roman"/>
          <w:i/>
        </w:rPr>
        <w:t>social lending</w:t>
      </w:r>
      <w:r w:rsidRPr="00386E61">
        <w:rPr>
          <w:rFonts w:cs="Times New Roman"/>
        </w:rPr>
        <w:t xml:space="preserve"> è estremamente contenuta. Nel 2015 (ultimo dato ufficiale disponibile), sono stati erogati finanziamenti complessivi per circa 26 milioni di euro, gran parte dei quali hanno interessato famiglie e, in minor misura, piccole e medie imprese.</w:t>
      </w:r>
    </w:p>
    <w:p w:rsidR="00D22AFF" w:rsidRPr="00386E61" w:rsidRDefault="00D22AFF" w:rsidP="00D22AFF">
      <w:pPr>
        <w:rPr>
          <w:rFonts w:cs="Times New Roman"/>
        </w:rPr>
      </w:pPr>
      <w:r w:rsidRPr="00386E61">
        <w:rPr>
          <w:rFonts w:cs="Times New Roman"/>
        </w:rPr>
        <w:t>Anche immaginando una significativa crescita del mercato stimolata dall’intervento in esame, i numeri dell’attività (con esclusivo riferimento ai finanziamenti erogati a PMI) rimarrebbero, comunque, limitati e tali da poter essere assorbiti – in considerazione del basso fabbisogno di risorse notoriamente associato allo strumento di garanzia per effetto del cd. “moltiplicatore” – dalla ordinaria dotazione finanziaria del Fondo di garanzia, tenuto conto dello stanziamento finanziario già richiesto per il prossimo triennio.</w:t>
      </w:r>
    </w:p>
    <w:p w:rsidR="002A4BF8" w:rsidRPr="002279E2" w:rsidRDefault="002A4BF8" w:rsidP="00612935">
      <w:pPr>
        <w:rPr>
          <w:rFonts w:cs="Times New Roman"/>
        </w:rPr>
      </w:pPr>
    </w:p>
    <w:p w:rsidR="00B87EB2" w:rsidRPr="002279E2" w:rsidRDefault="00B87EB2" w:rsidP="001F7F8D">
      <w:pPr>
        <w:pStyle w:val="Titolo2"/>
      </w:pPr>
      <w:bookmarkStart w:id="43" w:name="_Toc6937348"/>
      <w:r w:rsidRPr="002279E2">
        <w:t xml:space="preserve">Articolo </w:t>
      </w:r>
      <w:r w:rsidR="00F523CA">
        <w:t>19</w:t>
      </w:r>
      <w:r w:rsidRPr="002279E2">
        <w:br/>
        <w:t>(Rifinanziamento del Fondo di garanzia per la prima casa)</w:t>
      </w:r>
      <w:bookmarkEnd w:id="43"/>
    </w:p>
    <w:p w:rsidR="00393DC0" w:rsidRPr="002279E2" w:rsidRDefault="00393DC0" w:rsidP="00393DC0">
      <w:pPr>
        <w:rPr>
          <w:rFonts w:cs="Times New Roman"/>
          <w:szCs w:val="24"/>
        </w:rPr>
      </w:pPr>
      <w:r w:rsidRPr="002279E2">
        <w:rPr>
          <w:rFonts w:cs="Times New Roman"/>
          <w:szCs w:val="24"/>
        </w:rPr>
        <w:t>1. Al Fondo di garanzia per la prima casa, di cui all’articolo 1, comma 48, lettera c), della legge 27 dicembre 2013, n. 147, sono assegnati 100 milioni di euro nell’anno 2019.</w:t>
      </w:r>
    </w:p>
    <w:p w:rsidR="00393DC0" w:rsidRPr="002279E2" w:rsidRDefault="00393DC0" w:rsidP="00393DC0">
      <w:pPr>
        <w:rPr>
          <w:rFonts w:cs="Times New Roman"/>
          <w:szCs w:val="24"/>
        </w:rPr>
      </w:pPr>
      <w:r w:rsidRPr="002279E2">
        <w:rPr>
          <w:rFonts w:cs="Times New Roman"/>
          <w:szCs w:val="24"/>
        </w:rPr>
        <w:t>2. Per ogni finanziamento ammesso alla garanzia del Fondo di cui all’articolo 1, comma 48, lettera c), della legge 27 dicembre 2013, n. 147 viene accantonato a copertura del rischio un importo non inferiore all’</w:t>
      </w:r>
      <w:r w:rsidR="00520530" w:rsidRPr="002279E2">
        <w:rPr>
          <w:rFonts w:cs="Times New Roman"/>
          <w:color w:val="FF0000"/>
          <w:szCs w:val="24"/>
        </w:rPr>
        <w:t>8</w:t>
      </w:r>
      <w:r w:rsidRPr="002279E2">
        <w:rPr>
          <w:rFonts w:cs="Times New Roman"/>
          <w:szCs w:val="24"/>
        </w:rPr>
        <w:t xml:space="preserve"> per cento dell’importo garantito.</w:t>
      </w:r>
    </w:p>
    <w:p w:rsidR="00E077C7" w:rsidRPr="002279E2" w:rsidRDefault="00E077C7" w:rsidP="00E077C7">
      <w:pPr>
        <w:jc w:val="center"/>
        <w:rPr>
          <w:rFonts w:cs="Times New Roman"/>
          <w:b/>
          <w:sz w:val="24"/>
          <w:szCs w:val="24"/>
        </w:rPr>
      </w:pPr>
    </w:p>
    <w:p w:rsidR="00B87EB2" w:rsidRPr="002279E2" w:rsidRDefault="00E077C7" w:rsidP="00E077C7">
      <w:pPr>
        <w:jc w:val="center"/>
        <w:rPr>
          <w:rFonts w:cs="Times New Roman"/>
          <w:b/>
          <w:sz w:val="24"/>
          <w:szCs w:val="24"/>
        </w:rPr>
      </w:pPr>
      <w:r w:rsidRPr="002279E2">
        <w:rPr>
          <w:rFonts w:cs="Times New Roman"/>
          <w:b/>
          <w:sz w:val="24"/>
          <w:szCs w:val="24"/>
        </w:rPr>
        <w:t>Relazione illustrativa</w:t>
      </w:r>
    </w:p>
    <w:p w:rsidR="00E077C7" w:rsidRPr="002279E2" w:rsidRDefault="00E077C7" w:rsidP="00E077C7">
      <w:pPr>
        <w:rPr>
          <w:rFonts w:cs="Times New Roman"/>
        </w:rPr>
      </w:pPr>
      <w:r w:rsidRPr="002279E2">
        <w:rPr>
          <w:rFonts w:cs="Times New Roman"/>
        </w:rPr>
        <w:t xml:space="preserve">Il Fondo di garanzia per la prima casa è stato istituito dall’art. 1, comma 48, lettera c), della legge 27 dicembre 2013, n. 147 (legge di stabilità 2014), con controgaranzia Stato. </w:t>
      </w:r>
    </w:p>
    <w:p w:rsidR="00E077C7" w:rsidRPr="002279E2" w:rsidRDefault="00E077C7" w:rsidP="00E077C7">
      <w:pPr>
        <w:rPr>
          <w:rFonts w:cs="Times New Roman"/>
        </w:rPr>
      </w:pPr>
      <w:r w:rsidRPr="002279E2">
        <w:rPr>
          <w:rFonts w:cs="Times New Roman"/>
        </w:rPr>
        <w:t>Il fondo concede garanzie, a prima richiesta, nella misura massima del 50 per cento della quota capitale di mutui ipotecari di importo non superiore ad euro 250.000, connessi al solo acquisto, ovvero all’acquisto unitamente ad interventi di ristrutturazione con accrescimento di efficienza energetica, di unità immobiliari non di lusso, site sul territorio nazionale, da adibire ad abitazione principale del mutuatario, che non deve essere proprietario di altri immobili ad uso abitativo.</w:t>
      </w:r>
    </w:p>
    <w:p w:rsidR="00E077C7" w:rsidRPr="002279E2" w:rsidRDefault="00E077C7" w:rsidP="00E077C7">
      <w:pPr>
        <w:rPr>
          <w:rFonts w:cs="Times New Roman"/>
        </w:rPr>
      </w:pPr>
      <w:r w:rsidRPr="002279E2">
        <w:rPr>
          <w:rFonts w:cs="Times New Roman"/>
        </w:rPr>
        <w:t>A fronte di un garantito in essere di 4,5 miliardi di euro, le risorse del Fondo, in assenza di rifinanziamento, si esauriranno entro i prossimi due mesi.</w:t>
      </w:r>
    </w:p>
    <w:p w:rsidR="00E077C7" w:rsidRPr="002279E2" w:rsidRDefault="00E077C7" w:rsidP="00E077C7">
      <w:pPr>
        <w:rPr>
          <w:rFonts w:cs="Times New Roman"/>
        </w:rPr>
      </w:pPr>
      <w:r w:rsidRPr="002279E2">
        <w:rPr>
          <w:rFonts w:cs="Times New Roman"/>
        </w:rPr>
        <w:t xml:space="preserve">Oltre al rifinanziamento si interviene </w:t>
      </w:r>
      <w:r w:rsidR="00536E8D" w:rsidRPr="002279E2">
        <w:rPr>
          <w:rFonts w:cs="Times New Roman"/>
        </w:rPr>
        <w:t>sugli</w:t>
      </w:r>
      <w:r w:rsidRPr="002279E2">
        <w:rPr>
          <w:rFonts w:cs="Times New Roman"/>
        </w:rPr>
        <w:t xml:space="preserve"> accantonamenti oggi fissati al 10% (percentuale troppo elevata per mutui coperti da garanzia ipotecaria, tenuto anche conto della scarsissima attivazione della garanzia del Fondo), liberando così risorse.</w:t>
      </w:r>
    </w:p>
    <w:p w:rsidR="00E077C7" w:rsidRPr="002279E2" w:rsidRDefault="00E077C7" w:rsidP="00612935">
      <w:pPr>
        <w:rPr>
          <w:rFonts w:cs="Times New Roman"/>
          <w:sz w:val="24"/>
          <w:szCs w:val="24"/>
        </w:rPr>
      </w:pPr>
    </w:p>
    <w:p w:rsidR="003B238E" w:rsidRPr="002279E2" w:rsidRDefault="003B238E" w:rsidP="001F7F8D">
      <w:pPr>
        <w:pStyle w:val="Titolo2"/>
      </w:pPr>
      <w:bookmarkStart w:id="44" w:name="_Toc6937349"/>
      <w:r w:rsidRPr="002279E2">
        <w:t xml:space="preserve">Articolo </w:t>
      </w:r>
      <w:r w:rsidR="00B30DBD" w:rsidRPr="002279E2">
        <w:t>2</w:t>
      </w:r>
      <w:r w:rsidR="00F523CA">
        <w:t>0</w:t>
      </w:r>
      <w:r w:rsidRPr="002279E2">
        <w:br/>
        <w:t>(Modifiche alla misura Nuova Sabatini)</w:t>
      </w:r>
      <w:bookmarkEnd w:id="44"/>
    </w:p>
    <w:p w:rsidR="00393DC0" w:rsidRPr="002279E2" w:rsidRDefault="00393DC0" w:rsidP="00393DC0">
      <w:pPr>
        <w:rPr>
          <w:rFonts w:cs="Times New Roman"/>
          <w:szCs w:val="24"/>
        </w:rPr>
      </w:pPr>
      <w:r w:rsidRPr="002279E2">
        <w:rPr>
          <w:rFonts w:cs="Times New Roman"/>
          <w:szCs w:val="24"/>
        </w:rPr>
        <w:t>1 All’articolo 2, del decreto-legge 21 giugno 2013, n. 69, convertito, con modificazioni, dalla legge 9 agosto 2013, n. 98, sono apportate le seguenti modificazioni:</w:t>
      </w:r>
    </w:p>
    <w:p w:rsidR="00393DC0" w:rsidRPr="002279E2" w:rsidRDefault="00393DC0" w:rsidP="00393DC0">
      <w:pPr>
        <w:rPr>
          <w:rFonts w:cs="Times New Roman"/>
          <w:szCs w:val="24"/>
        </w:rPr>
      </w:pPr>
      <w:r w:rsidRPr="002279E2">
        <w:rPr>
          <w:rFonts w:cs="Times New Roman"/>
          <w:szCs w:val="24"/>
        </w:rPr>
        <w:t>a) al comma 3, le parole “2 milioni di euro” sono sostituite dalle parole “4 milioni di euro”.</w:t>
      </w:r>
    </w:p>
    <w:p w:rsidR="00393DC0" w:rsidRPr="002279E2" w:rsidRDefault="00393DC0" w:rsidP="00393DC0">
      <w:pPr>
        <w:rPr>
          <w:rFonts w:cs="Times New Roman"/>
          <w:szCs w:val="24"/>
        </w:rPr>
      </w:pPr>
      <w:r w:rsidRPr="002279E2">
        <w:rPr>
          <w:rFonts w:cs="Times New Roman"/>
          <w:szCs w:val="24"/>
        </w:rPr>
        <w:t>b) al comma 4, dopo le parole “L’erogazione del predetto contributo è effettuata” sono aggiunte le parole “,sulla base delle dichiarazioni prodotte dalle imprese in merito alla realizzazione dell’investimento,” e, dopo il secondo periodo, è aggiunto il seguente: “In caso di finanziamento di importo non superiore a 100.000,00 euro, il contributo viene erogato in un’unica soluzione”.</w:t>
      </w:r>
    </w:p>
    <w:p w:rsidR="00B45E40" w:rsidRPr="002279E2" w:rsidRDefault="00B45E40" w:rsidP="00B45E40">
      <w:pPr>
        <w:rPr>
          <w:rFonts w:cs="Times New Roman"/>
          <w:szCs w:val="24"/>
        </w:rPr>
      </w:pPr>
    </w:p>
    <w:p w:rsidR="00B45E40" w:rsidRPr="002279E2" w:rsidRDefault="00B45E40" w:rsidP="005728E4">
      <w:pPr>
        <w:jc w:val="center"/>
        <w:rPr>
          <w:rFonts w:cs="Times New Roman"/>
          <w:b/>
          <w:szCs w:val="24"/>
        </w:rPr>
      </w:pPr>
      <w:r w:rsidRPr="002279E2">
        <w:rPr>
          <w:rFonts w:cs="Times New Roman"/>
          <w:b/>
          <w:szCs w:val="24"/>
        </w:rPr>
        <w:t>Relazione illustrativa</w:t>
      </w:r>
    </w:p>
    <w:p w:rsidR="00B45E40" w:rsidRPr="002279E2" w:rsidRDefault="00B45E40" w:rsidP="005728E4">
      <w:pPr>
        <w:rPr>
          <w:rFonts w:cs="Times New Roman"/>
          <w:iCs/>
          <w:szCs w:val="24"/>
        </w:rPr>
      </w:pPr>
      <w:r w:rsidRPr="002279E2">
        <w:rPr>
          <w:rFonts w:cs="Times New Roman"/>
          <w:iCs/>
          <w:szCs w:val="24"/>
        </w:rPr>
        <w:t xml:space="preserve">La misura “Beni strumentali - Nuova Sabatini” costituisce uno dei principali strumenti agevolativi nazionali e persegue l’obiettivo di rafforzare il sistema produttivo e competitivo delle PMI attraverso il sostegno per l’acquisto, o acquisizione in </w:t>
      </w:r>
      <w:r w:rsidRPr="002279E2">
        <w:rPr>
          <w:rFonts w:cs="Times New Roman"/>
          <w:i/>
          <w:iCs/>
          <w:szCs w:val="24"/>
        </w:rPr>
        <w:t>leasing</w:t>
      </w:r>
      <w:r w:rsidRPr="002279E2">
        <w:rPr>
          <w:rFonts w:cs="Times New Roman"/>
          <w:iCs/>
          <w:szCs w:val="24"/>
        </w:rPr>
        <w:t xml:space="preserve">, di beni materiali (macchinari, impianti, beni strumentali d’impresa, attrezzature nuovi di fabbrica e hardware) o immateriali (software e tecnologie digitali) a uso produttivo. </w:t>
      </w:r>
    </w:p>
    <w:p w:rsidR="00B45E40" w:rsidRPr="002279E2" w:rsidRDefault="00B45E40" w:rsidP="005728E4">
      <w:pPr>
        <w:rPr>
          <w:rFonts w:cs="Times New Roman"/>
          <w:szCs w:val="24"/>
        </w:rPr>
      </w:pPr>
      <w:r w:rsidRPr="002279E2">
        <w:rPr>
          <w:rFonts w:cs="Times New Roman"/>
          <w:iCs/>
          <w:szCs w:val="24"/>
        </w:rPr>
        <w:t>In particolare, a fronte della concessione di un finanziamento ordinario (bancario o in leasing) per la realizzazione di un programma di investimenti, il Ministero concede un contributo parametrato a un tasso di interesse convenzionalmente assunto (pari al 2,75% annuo per gli investimenti “ordinari” e al 3,575% per gli investimenti “Impresa 4.0”). Tale contributo è erogato alle PMI beneficiarie secondo il piano temporale riportato nel provvedimento di concessione, che si esaurisce entro il sesto anno dalla data di ultimazione dell’investimento, in quote annuali, in funzione anche delle risorse di bilancio annualmente disponibili in base alle autorizzazioni di spesa previste dalle norme di legge.</w:t>
      </w:r>
      <w:r w:rsidRPr="002279E2">
        <w:rPr>
          <w:rFonts w:cs="Times New Roman"/>
          <w:szCs w:val="24"/>
        </w:rPr>
        <w:t xml:space="preserve"> </w:t>
      </w:r>
      <w:r w:rsidRPr="002279E2">
        <w:rPr>
          <w:rFonts w:cs="Times New Roman"/>
          <w:iCs/>
          <w:szCs w:val="24"/>
        </w:rPr>
        <w:t>Proprio in connessione a tale modalità di erogazione del contributo (in sei quote annuali), nonché ai diversi rifinanziamenti della misura operati dal legislatore nel corso degli anni, si è determinato un aumento esponenziale del numero di istanze che ha aggravato gli oneri amministrativi e generato prevedibili ritardi nei pagamenti alle PMI.</w:t>
      </w:r>
    </w:p>
    <w:p w:rsidR="00B45E40" w:rsidRPr="002279E2" w:rsidRDefault="00B45E40" w:rsidP="005728E4">
      <w:pPr>
        <w:rPr>
          <w:rFonts w:cs="Times New Roman"/>
          <w:iCs/>
          <w:szCs w:val="24"/>
        </w:rPr>
      </w:pPr>
      <w:r w:rsidRPr="002279E2">
        <w:rPr>
          <w:rFonts w:cs="Times New Roman"/>
          <w:iCs/>
          <w:szCs w:val="24"/>
        </w:rPr>
        <w:t>In base alle disposizioni normative attualmente vigenti,</w:t>
      </w:r>
      <w:r w:rsidRPr="002279E2">
        <w:rPr>
          <w:rFonts w:cs="Times New Roman"/>
          <w:color w:val="000000"/>
          <w:szCs w:val="24"/>
        </w:rPr>
        <w:t xml:space="preserve"> </w:t>
      </w:r>
      <w:r w:rsidRPr="002279E2">
        <w:rPr>
          <w:rFonts w:cs="Times New Roman"/>
          <w:iCs/>
          <w:szCs w:val="24"/>
        </w:rPr>
        <w:t xml:space="preserve">il finanziamento può essere accordato a ciascuna impresa (da un minimo di 20.000 euro) fino ad un massimo di 2 milioni di euro durante tutto il periodo di validità dell’intervento agevolativo. Tale limite, introdotto per consentire la massima fruizione del beneficio in considerazione di una limitata dotazione finanziaria inizialmente stanziata per l’attuazione della misura, genera evidenti vincoli operativi nella fruizione del beneficio, poiché al raggiungimento del suddetto massimale, sia attraverso un singolo investimento, sia attraverso più investimenti agevolati realizzati durante l’intero periodo di operatività della misura (quasi cinque anni di operatività della misura), l’impresa non può più accedere alle agevolazioni previste dallo strumento. In particolare, il massimale di 2 milioni di euro risulta restrittivo soprattutto per le imprese di medie dimensioni e per quelle che realizzano investimenti produttivi di maggiore entità. </w:t>
      </w:r>
    </w:p>
    <w:p w:rsidR="00B45E40" w:rsidRPr="002279E2" w:rsidRDefault="00B45E40" w:rsidP="005728E4">
      <w:pPr>
        <w:autoSpaceDE w:val="0"/>
        <w:autoSpaceDN w:val="0"/>
        <w:adjustRightInd w:val="0"/>
        <w:rPr>
          <w:rFonts w:cs="Times New Roman"/>
          <w:iCs/>
          <w:szCs w:val="24"/>
        </w:rPr>
      </w:pPr>
      <w:r w:rsidRPr="002279E2">
        <w:rPr>
          <w:rFonts w:cs="Times New Roman"/>
          <w:iCs/>
          <w:szCs w:val="24"/>
        </w:rPr>
        <w:t xml:space="preserve">La norma </w:t>
      </w:r>
      <w:r w:rsidRPr="002279E2">
        <w:rPr>
          <w:rFonts w:cs="Times New Roman"/>
          <w:i/>
          <w:iCs/>
          <w:szCs w:val="24"/>
        </w:rPr>
        <w:t>de quo</w:t>
      </w:r>
      <w:r w:rsidRPr="002279E2">
        <w:rPr>
          <w:rFonts w:cs="Times New Roman"/>
          <w:iCs/>
          <w:szCs w:val="24"/>
        </w:rPr>
        <w:t xml:space="preserve"> è finalizzata ad ottimizzare le modalità operative di funzionamento della misura agevolativa, attraverso:</w:t>
      </w:r>
    </w:p>
    <w:p w:rsidR="00B45E40" w:rsidRPr="002279E2" w:rsidRDefault="00B45E40" w:rsidP="00826FD7">
      <w:pPr>
        <w:pStyle w:val="Paragrafoelenco"/>
        <w:numPr>
          <w:ilvl w:val="0"/>
          <w:numId w:val="20"/>
        </w:numPr>
        <w:autoSpaceDE w:val="0"/>
        <w:autoSpaceDN w:val="0"/>
        <w:adjustRightInd w:val="0"/>
        <w:spacing w:after="0" w:line="240" w:lineRule="auto"/>
        <w:ind w:left="284" w:hanging="284"/>
        <w:rPr>
          <w:rFonts w:ascii="Times New Roman" w:hAnsi="Times New Roman"/>
          <w:iCs/>
          <w:szCs w:val="24"/>
          <w:lang w:val="it-IT"/>
        </w:rPr>
      </w:pPr>
      <w:r w:rsidRPr="002279E2">
        <w:rPr>
          <w:rFonts w:ascii="Times New Roman" w:hAnsi="Times New Roman"/>
          <w:iCs/>
          <w:szCs w:val="24"/>
          <w:lang w:val="it-IT"/>
        </w:rPr>
        <w:t>L’aumento a 4 milioni di euro del valore massimo del finanziamento concedibile a ciascuna impresa che permette di superare i vincoli operativi nella fruizione del beneficio sopra esposti, consentendo anche alle imprese che hanno già saturato il limite massimo dei 2 milioni di euro di continuare ad accedere alle agevolazioni, anche in considerazione delle cospicue risorse finanziarie disponibili stanziate dal legislatore con la legge di bilancio 2019;</w:t>
      </w:r>
    </w:p>
    <w:p w:rsidR="00B45E40" w:rsidRPr="002279E2" w:rsidRDefault="00B45E40" w:rsidP="00826FD7">
      <w:pPr>
        <w:pStyle w:val="Paragrafoelenco"/>
        <w:numPr>
          <w:ilvl w:val="0"/>
          <w:numId w:val="20"/>
        </w:numPr>
        <w:autoSpaceDE w:val="0"/>
        <w:autoSpaceDN w:val="0"/>
        <w:adjustRightInd w:val="0"/>
        <w:spacing w:after="0" w:line="240" w:lineRule="auto"/>
        <w:ind w:left="284" w:hanging="284"/>
        <w:rPr>
          <w:rFonts w:ascii="Times New Roman" w:hAnsi="Times New Roman"/>
          <w:iCs/>
          <w:szCs w:val="24"/>
          <w:lang w:val="it-IT"/>
        </w:rPr>
      </w:pPr>
      <w:r w:rsidRPr="002279E2">
        <w:rPr>
          <w:rFonts w:ascii="Times New Roman" w:hAnsi="Times New Roman"/>
          <w:iCs/>
          <w:szCs w:val="24"/>
          <w:lang w:val="it-IT"/>
        </w:rPr>
        <w:t>la previsione di erogare il contributo in un’unica soluzione a fronte di finanziamenti di importo non superiore a 100.000,00 euro che consente, oltre ad uno snellimento degli oneri amministrativi, di accelerare la tempistica di erogazione delle agevolazioni e determinare anche flussi di cassa aziendale più alti, massimizzando in tal modo l’effetto incentivante della misura. Tale previsione determina un maggiore fabbisogno finanziario, determinato dall’accorpamento delle diverse quote di contributo, che però non necessità di anticipazioni di cassa.</w:t>
      </w:r>
    </w:p>
    <w:p w:rsidR="005728E4" w:rsidRPr="002279E2" w:rsidRDefault="005728E4" w:rsidP="005728E4">
      <w:pPr>
        <w:pStyle w:val="Paragrafoelenco"/>
        <w:autoSpaceDE w:val="0"/>
        <w:autoSpaceDN w:val="0"/>
        <w:adjustRightInd w:val="0"/>
        <w:spacing w:after="0" w:line="240" w:lineRule="auto"/>
        <w:ind w:left="284"/>
        <w:rPr>
          <w:rFonts w:ascii="Times New Roman" w:hAnsi="Times New Roman"/>
          <w:iCs/>
          <w:szCs w:val="24"/>
          <w:lang w:val="it-IT"/>
        </w:rPr>
      </w:pPr>
    </w:p>
    <w:p w:rsidR="00B45E40" w:rsidRPr="002279E2" w:rsidRDefault="00B45E40" w:rsidP="005728E4">
      <w:pPr>
        <w:jc w:val="center"/>
        <w:rPr>
          <w:rFonts w:cs="Times New Roman"/>
          <w:b/>
          <w:szCs w:val="24"/>
        </w:rPr>
      </w:pPr>
      <w:r w:rsidRPr="002279E2">
        <w:rPr>
          <w:rFonts w:cs="Times New Roman"/>
          <w:b/>
          <w:szCs w:val="24"/>
        </w:rPr>
        <w:t>Relazione tecnica:</w:t>
      </w:r>
    </w:p>
    <w:p w:rsidR="00B45E40" w:rsidRPr="002279E2" w:rsidRDefault="00B45E40" w:rsidP="005728E4">
      <w:pPr>
        <w:rPr>
          <w:rFonts w:cs="Times New Roman"/>
          <w:szCs w:val="24"/>
        </w:rPr>
      </w:pPr>
      <w:r w:rsidRPr="002279E2">
        <w:rPr>
          <w:rFonts w:cs="Times New Roman"/>
          <w:szCs w:val="24"/>
        </w:rPr>
        <w:t xml:space="preserve">La norma non determina nuovi oneri per la finanza pubblica, trattandosi di due modifiche strutturali relative al funzionamento della misura, che intervengono a dotazione finanziaria invariata. </w:t>
      </w:r>
    </w:p>
    <w:p w:rsidR="00B45E40" w:rsidRPr="002279E2" w:rsidRDefault="00B45E40" w:rsidP="005728E4">
      <w:pPr>
        <w:pStyle w:val="xmsonormal"/>
        <w:spacing w:before="0" w:beforeAutospacing="0" w:after="0" w:afterAutospacing="0"/>
        <w:jc w:val="both"/>
        <w:rPr>
          <w:rFonts w:eastAsiaTheme="minorEastAsia"/>
          <w:sz w:val="22"/>
        </w:rPr>
      </w:pPr>
      <w:r w:rsidRPr="002279E2">
        <w:rPr>
          <w:rFonts w:eastAsiaTheme="minorEastAsia"/>
          <w:sz w:val="22"/>
        </w:rPr>
        <w:t>Con particolare riferimento alla modifica di cui alla lettera b), si precisa che le operazioni con finanziamenti di importo non superiore a 100.000,00 euro rappresentano il 10% rispetto al totale delle operazioni e che, pertanto, l’erogazione in un’unica soluzione, stante la ridotta incidenza, può essere coperta con l’attuale disponibilità di cassa, considerati anche i rientri derivanti da revoche e rinunce.</w:t>
      </w:r>
    </w:p>
    <w:p w:rsidR="00B87EB2" w:rsidRPr="002279E2" w:rsidRDefault="00B87EB2" w:rsidP="00612935">
      <w:pPr>
        <w:rPr>
          <w:rFonts w:cs="Times New Roman"/>
          <w:sz w:val="24"/>
          <w:szCs w:val="24"/>
        </w:rPr>
      </w:pPr>
    </w:p>
    <w:p w:rsidR="006E509F" w:rsidRPr="002279E2" w:rsidRDefault="00B30685" w:rsidP="001F7F8D">
      <w:pPr>
        <w:pStyle w:val="Titolo2"/>
      </w:pPr>
      <w:bookmarkStart w:id="45" w:name="_Toc4174429"/>
      <w:bookmarkStart w:id="46" w:name="_Toc6937350"/>
      <w:r w:rsidRPr="002279E2">
        <w:t>Articolo</w:t>
      </w:r>
      <w:r w:rsidR="006E509F" w:rsidRPr="002279E2">
        <w:t xml:space="preserve"> </w:t>
      </w:r>
      <w:r w:rsidR="00B30DBD" w:rsidRPr="002279E2">
        <w:t>2</w:t>
      </w:r>
      <w:r w:rsidR="00F523CA">
        <w:t>1</w:t>
      </w:r>
      <w:r w:rsidR="00EA247B" w:rsidRPr="002279E2">
        <w:br/>
      </w:r>
      <w:r w:rsidR="006E509F" w:rsidRPr="002279E2">
        <w:t>(Sostegno alla capitalizzazione)</w:t>
      </w:r>
      <w:bookmarkEnd w:id="45"/>
      <w:bookmarkEnd w:id="46"/>
    </w:p>
    <w:p w:rsidR="00AE7642" w:rsidRPr="002279E2" w:rsidRDefault="00AE7642" w:rsidP="00AE7642">
      <w:pPr>
        <w:rPr>
          <w:rFonts w:eastAsia="Times New Roman" w:cs="Times New Roman"/>
          <w:szCs w:val="24"/>
          <w:lang w:eastAsia="it-IT"/>
        </w:rPr>
      </w:pPr>
      <w:r w:rsidRPr="002279E2">
        <w:rPr>
          <w:rFonts w:eastAsia="Times New Roman" w:cs="Times New Roman"/>
          <w:color w:val="000000"/>
          <w:szCs w:val="24"/>
          <w:lang w:eastAsia="it-IT"/>
        </w:rPr>
        <w:t>1. I contributi di cui all’articolo 2, comma 5, del decreto- legge 21 giugno 2013, n. 69</w:t>
      </w:r>
      <w:r w:rsidR="009C3ED5">
        <w:rPr>
          <w:rFonts w:eastAsia="Times New Roman" w:cs="Times New Roman"/>
          <w:color w:val="000000"/>
          <w:szCs w:val="24"/>
          <w:lang w:eastAsia="it-IT"/>
        </w:rPr>
        <w:t>, convertito, con modificazioni dalla legge 9 agosto 2013, n. 98</w:t>
      </w:r>
      <w:r w:rsidR="009C3ED5" w:rsidRPr="002279E2">
        <w:rPr>
          <w:rFonts w:eastAsia="Times New Roman" w:cs="Times New Roman"/>
          <w:color w:val="000000"/>
          <w:szCs w:val="24"/>
          <w:lang w:eastAsia="it-IT"/>
        </w:rPr>
        <w:t>,</w:t>
      </w:r>
      <w:r w:rsidRPr="002279E2">
        <w:rPr>
          <w:rFonts w:eastAsia="Times New Roman" w:cs="Times New Roman"/>
          <w:color w:val="000000"/>
          <w:szCs w:val="24"/>
          <w:lang w:eastAsia="it-IT"/>
        </w:rPr>
        <w:t xml:space="preserve"> sono altresì riconosciuti, alle condizioni di cui al presente articolo, in favore </w:t>
      </w:r>
      <w:r w:rsidRPr="002279E2">
        <w:rPr>
          <w:rFonts w:eastAsia="Times New Roman" w:cs="Times New Roman"/>
          <w:szCs w:val="24"/>
          <w:lang w:eastAsia="it-IT"/>
        </w:rPr>
        <w:t xml:space="preserve">delle micro, piccole e medie imprese, costituite in forma societaria, impegnate in processi di capitalizzazione, che intendono realizzare un programma di investimento. </w:t>
      </w:r>
    </w:p>
    <w:p w:rsidR="00AE7642" w:rsidRPr="002279E2" w:rsidRDefault="00AE7642" w:rsidP="00AE7642">
      <w:pPr>
        <w:rPr>
          <w:rFonts w:eastAsia="Times New Roman" w:cs="Times New Roman"/>
          <w:color w:val="000000"/>
          <w:szCs w:val="24"/>
          <w:lang w:eastAsia="it-IT"/>
        </w:rPr>
      </w:pPr>
      <w:r w:rsidRPr="002279E2">
        <w:rPr>
          <w:rFonts w:eastAsia="Times New Roman" w:cs="Times New Roman"/>
          <w:color w:val="000000"/>
          <w:szCs w:val="24"/>
          <w:lang w:eastAsia="it-IT"/>
        </w:rPr>
        <w:lastRenderedPageBreak/>
        <w:t>2. Le agevolazioni di cui all’articolo 2 del decreto- legge n. 69 del 2013 sono concesse</w:t>
      </w:r>
      <w:r w:rsidR="009C3ED5">
        <w:rPr>
          <w:rFonts w:eastAsia="Times New Roman" w:cs="Times New Roman"/>
          <w:color w:val="000000"/>
          <w:szCs w:val="24"/>
          <w:lang w:eastAsia="it-IT"/>
        </w:rPr>
        <w:t xml:space="preserve"> </w:t>
      </w:r>
      <w:r w:rsidRPr="002279E2">
        <w:rPr>
          <w:rFonts w:eastAsia="Times New Roman" w:cs="Times New Roman"/>
          <w:color w:val="000000"/>
          <w:szCs w:val="24"/>
          <w:lang w:eastAsia="it-IT"/>
        </w:rPr>
        <w:t>nel caso di sostegno a processi di capitalizzazione delle imprese, a fronte dell’impegno dei soci a sottoscrivere un aumento di capitale sociale dell’impresa, da versare in più quote, in corrispondenza delle scadenze del piano di ammortamento del predetto finanziamento;</w:t>
      </w:r>
    </w:p>
    <w:p w:rsidR="00AE7642" w:rsidRPr="002279E2" w:rsidRDefault="00AE7642" w:rsidP="00AE7642">
      <w:pPr>
        <w:rPr>
          <w:rFonts w:eastAsia="Times New Roman" w:cs="Times New Roman"/>
          <w:szCs w:val="24"/>
          <w:lang w:eastAsia="it-IT"/>
        </w:rPr>
      </w:pPr>
      <w:r w:rsidRPr="002279E2">
        <w:rPr>
          <w:rFonts w:eastAsia="Times New Roman" w:cs="Times New Roman"/>
          <w:color w:val="000000"/>
          <w:szCs w:val="24"/>
          <w:lang w:eastAsia="it-IT"/>
        </w:rPr>
        <w:t>3. Per le finalità di cui al presente articolo, i contributi di cui all’articolo 2, comma 5, del decreto- legge n. 69 del 2013, fermo restando il rispetto delle intensità massime previste dalla applicabile normativa comunitaria in materia di aiuti di Stato, sono rapportati agli interessi calcolati, in via convenzionale, sul finanziamento a un tasso annuo del:</w:t>
      </w:r>
    </w:p>
    <w:p w:rsidR="00AE7642" w:rsidRPr="002279E2" w:rsidRDefault="00AE7642" w:rsidP="00AE7642">
      <w:pPr>
        <w:numPr>
          <w:ilvl w:val="0"/>
          <w:numId w:val="6"/>
        </w:numPr>
        <w:ind w:left="0" w:firstLine="357"/>
        <w:rPr>
          <w:rFonts w:eastAsia="Times New Roman" w:cs="Times New Roman"/>
          <w:szCs w:val="24"/>
          <w:lang w:eastAsia="it-IT"/>
        </w:rPr>
      </w:pPr>
      <w:r w:rsidRPr="002279E2">
        <w:rPr>
          <w:rFonts w:eastAsia="Times New Roman" w:cs="Times New Roman"/>
          <w:szCs w:val="24"/>
          <w:lang w:eastAsia="it-IT"/>
        </w:rPr>
        <w:t xml:space="preserve">5 percento, per le </w:t>
      </w:r>
      <w:r w:rsidRPr="002279E2">
        <w:rPr>
          <w:rFonts w:eastAsia="Times New Roman" w:cs="Times New Roman"/>
          <w:color w:val="000000"/>
          <w:szCs w:val="24"/>
          <w:lang w:eastAsia="it-IT"/>
        </w:rPr>
        <w:t>micro e piccole imprese;</w:t>
      </w:r>
    </w:p>
    <w:p w:rsidR="00AE7642" w:rsidRPr="002279E2" w:rsidRDefault="00AE7642" w:rsidP="00AE7642">
      <w:pPr>
        <w:numPr>
          <w:ilvl w:val="0"/>
          <w:numId w:val="6"/>
        </w:numPr>
        <w:ind w:left="0" w:firstLine="357"/>
        <w:rPr>
          <w:rFonts w:eastAsia="Times New Roman" w:cs="Times New Roman"/>
          <w:szCs w:val="24"/>
          <w:lang w:eastAsia="it-IT"/>
        </w:rPr>
      </w:pPr>
      <w:r w:rsidRPr="002279E2">
        <w:rPr>
          <w:rFonts w:eastAsia="Times New Roman" w:cs="Times New Roman"/>
          <w:color w:val="000000"/>
          <w:szCs w:val="24"/>
          <w:lang w:eastAsia="it-IT"/>
        </w:rPr>
        <w:t>3,575 percento, per le medie imprese.</w:t>
      </w:r>
    </w:p>
    <w:p w:rsidR="00AE7642" w:rsidRPr="002279E2" w:rsidRDefault="00AE7642" w:rsidP="00AE7642">
      <w:pPr>
        <w:rPr>
          <w:rFonts w:eastAsia="Times New Roman" w:cs="Times New Roman"/>
          <w:color w:val="000000"/>
          <w:szCs w:val="24"/>
          <w:lang w:eastAsia="it-IT"/>
        </w:rPr>
      </w:pPr>
      <w:r w:rsidRPr="002279E2">
        <w:rPr>
          <w:rFonts w:eastAsia="Times New Roman" w:cs="Times New Roman"/>
          <w:color w:val="000000"/>
          <w:szCs w:val="24"/>
          <w:lang w:eastAsia="it-IT"/>
        </w:rPr>
        <w:t>4. Per la concessione del cont</w:t>
      </w:r>
      <w:r w:rsidR="00D3119B">
        <w:rPr>
          <w:rFonts w:eastAsia="Times New Roman" w:cs="Times New Roman"/>
          <w:color w:val="000000"/>
          <w:szCs w:val="24"/>
          <w:lang w:eastAsia="it-IT"/>
        </w:rPr>
        <w:t>r</w:t>
      </w:r>
      <w:r w:rsidRPr="002279E2">
        <w:rPr>
          <w:rFonts w:eastAsia="Times New Roman" w:cs="Times New Roman"/>
          <w:color w:val="000000"/>
          <w:szCs w:val="24"/>
          <w:lang w:eastAsia="it-IT"/>
        </w:rPr>
        <w:t>ibuto di cui presente articolo, l’autorizzazione di spesa di cui all’articolo 1, comma 200, della legge 30 dicembre 2018, n. 145 è integrata</w:t>
      </w:r>
      <w:r w:rsidR="00F16D89">
        <w:rPr>
          <w:rFonts w:eastAsia="Times New Roman" w:cs="Times New Roman"/>
          <w:color w:val="000000"/>
          <w:szCs w:val="24"/>
          <w:lang w:eastAsia="it-IT"/>
        </w:rPr>
        <w:t xml:space="preserve"> </w:t>
      </w:r>
      <w:r w:rsidRPr="002279E2">
        <w:rPr>
          <w:rFonts w:eastAsia="Times New Roman" w:cs="Times New Roman"/>
          <w:color w:val="000000"/>
          <w:szCs w:val="24"/>
          <w:lang w:eastAsia="it-IT"/>
        </w:rPr>
        <w:t>per euro 10 milioni per l’anno 2019, per euro 15 milioni per ciascuno degli anni dal 2020 al 2023 e per euro 10 milioni per l’anno 2024. Al fine di assicurare l’operatività della misura, le predette risorse sono trasferite al Ministero dello sviluppo economico a inizio di ciascuna delle annualità previste.</w:t>
      </w:r>
    </w:p>
    <w:p w:rsidR="00AE7642" w:rsidRPr="002279E2" w:rsidRDefault="00AE7642" w:rsidP="00AE7642">
      <w:pPr>
        <w:rPr>
          <w:rFonts w:eastAsia="Times New Roman" w:cs="Times New Roman"/>
          <w:color w:val="000000"/>
          <w:szCs w:val="24"/>
          <w:lang w:eastAsia="it-IT"/>
        </w:rPr>
      </w:pPr>
      <w:r w:rsidRPr="002279E2">
        <w:rPr>
          <w:rFonts w:eastAsia="Times New Roman" w:cs="Times New Roman"/>
          <w:color w:val="000000"/>
          <w:szCs w:val="24"/>
          <w:lang w:eastAsia="it-IT"/>
        </w:rPr>
        <w:t>5. Con decreto del Ministro dello sviluppo economico, di concerto con il Ministero dell’Economia e delle Finanze, da adottare ai sensi dell’art. 17, comma 3 della legge 23 agosto 1988, n. 400,sono stabiliti i requisiti e le condizioni di accesso al contributo di cui al comma 3, le caratteristiche del programma di investimento, le modalità e i termini per l’esecuzione del piano di capitalizzazione dell’impresa beneficiaria da parte dei soci della medesima, nonché le cause e le modalità di revoca del contributo nel caso di mancato rispetto degli impegni assunti, ivi incluso la realizzazione del predetto piano di capitalizzazione.</w:t>
      </w:r>
    </w:p>
    <w:p w:rsidR="00AE7642" w:rsidRPr="002279E2" w:rsidRDefault="00AE7642" w:rsidP="00AE7642">
      <w:pPr>
        <w:rPr>
          <w:rFonts w:eastAsia="Times New Roman" w:cs="Times New Roman"/>
          <w:color w:val="000000"/>
          <w:szCs w:val="24"/>
          <w:lang w:eastAsia="it-IT"/>
        </w:rPr>
      </w:pPr>
    </w:p>
    <w:p w:rsidR="00AE7642" w:rsidRPr="002279E2" w:rsidRDefault="00AE7642" w:rsidP="0079774A">
      <w:pPr>
        <w:jc w:val="center"/>
        <w:rPr>
          <w:rFonts w:eastAsia="Times New Roman" w:cs="Times New Roman"/>
          <w:b/>
          <w:szCs w:val="24"/>
          <w:lang w:eastAsia="it-IT"/>
        </w:rPr>
      </w:pPr>
      <w:r w:rsidRPr="002279E2">
        <w:rPr>
          <w:rFonts w:eastAsia="Times New Roman" w:cs="Times New Roman"/>
          <w:b/>
          <w:szCs w:val="24"/>
          <w:lang w:eastAsia="it-IT"/>
        </w:rPr>
        <w:t>Relazione illustrativa</w:t>
      </w:r>
    </w:p>
    <w:p w:rsidR="00AE7642" w:rsidRPr="002279E2" w:rsidRDefault="00AE7642" w:rsidP="00AE7642">
      <w:pPr>
        <w:rPr>
          <w:rFonts w:eastAsia="Times New Roman" w:cs="Times New Roman"/>
          <w:szCs w:val="24"/>
          <w:lang w:eastAsia="it-IT"/>
        </w:rPr>
      </w:pPr>
      <w:r w:rsidRPr="002279E2">
        <w:rPr>
          <w:rFonts w:eastAsia="Times New Roman" w:cs="Times New Roman"/>
          <w:szCs w:val="24"/>
          <w:lang w:eastAsia="it-IT"/>
        </w:rPr>
        <w:t>Le imprese italiane presentano, mediamente, un basso indice di capitalizzazione, anche e soprattutto rispetto alla situazione riscontrabile nei principali paesi industrializzati. Le cause di questa cronica situazione di sottocapitalizzazione sono da ricercare, principalmente, nella preferenza che le aziende italiane hanno sempre mostrato per il finanziamento attraverso capitale di debito – soprattutto bancario, tanto da far qualificare, da molti studiosi e osservatori, il nostro sistema produttivo come “banco-centrico” – rispetto al capitale di rischio.</w:t>
      </w:r>
    </w:p>
    <w:p w:rsidR="00AE7642" w:rsidRPr="002279E2" w:rsidRDefault="00AE7642" w:rsidP="00AE7642">
      <w:pPr>
        <w:rPr>
          <w:rFonts w:eastAsia="Times New Roman" w:cs="Times New Roman"/>
          <w:szCs w:val="24"/>
          <w:lang w:eastAsia="it-IT"/>
        </w:rPr>
      </w:pPr>
      <w:r w:rsidRPr="002279E2">
        <w:rPr>
          <w:rFonts w:eastAsia="Times New Roman" w:cs="Times New Roman"/>
          <w:szCs w:val="24"/>
          <w:lang w:eastAsia="it-IT"/>
        </w:rPr>
        <w:t>Il tema della sottocapitalizzazione e dell’eccessiva dipendenza dal canale di finanziamento bancario riguarda, principalmente, le imprese di minore dimensione.</w:t>
      </w:r>
    </w:p>
    <w:p w:rsidR="00AE7642" w:rsidRPr="002279E2" w:rsidRDefault="00AE7642" w:rsidP="00AE7642">
      <w:pPr>
        <w:rPr>
          <w:rFonts w:eastAsia="Times New Roman" w:cs="Times New Roman"/>
          <w:szCs w:val="24"/>
          <w:lang w:eastAsia="it-IT"/>
        </w:rPr>
      </w:pPr>
      <w:r w:rsidRPr="002279E2">
        <w:rPr>
          <w:rFonts w:eastAsia="Times New Roman" w:cs="Times New Roman"/>
          <w:szCs w:val="24"/>
          <w:lang w:eastAsia="it-IT"/>
        </w:rPr>
        <w:t>Accanto alla descritta situazione di strutturale sottocapitalizzazione delle imprese italiane, negli ultimi anni, si è registrata, per gli effetti innescati dalla crisi economica e finanziaria, anche una consistente contrazione degli investimenti produttivi. Questa forte riduzione è legata anche alle maggiori difficoltà di accesso al credito riscontrate dalle imprese, connesse anche a una più restrittiva politica di concessione dei finanziamenti da parte degli istituti bancari.</w:t>
      </w:r>
    </w:p>
    <w:p w:rsidR="00AE7642" w:rsidRPr="002279E2" w:rsidRDefault="00AE7642" w:rsidP="00AE7642">
      <w:pPr>
        <w:rPr>
          <w:rFonts w:eastAsia="Times New Roman" w:cs="Times New Roman"/>
          <w:szCs w:val="24"/>
          <w:lang w:eastAsia="it-IT"/>
        </w:rPr>
      </w:pPr>
      <w:r w:rsidRPr="002279E2">
        <w:rPr>
          <w:rFonts w:eastAsia="Times New Roman" w:cs="Times New Roman"/>
          <w:szCs w:val="24"/>
          <w:lang w:eastAsia="it-IT"/>
        </w:rPr>
        <w:t>L’intervento che si intende proporre mira a incidere sulla situazione sopra rappresentata, incentivando le PMI a intraprendere nuovi programmi di investimento e di sviluppo dell’attività aziendale mediante il ricorso a un particolare e innovativo meccanismo di finanziamento, in grado di innescare un graduale e stabile rafforzamento della struttura patrimoniale delle medesime imprese.</w:t>
      </w:r>
    </w:p>
    <w:p w:rsidR="00AE7642" w:rsidRPr="002279E2" w:rsidRDefault="00AE7642" w:rsidP="00AE7642">
      <w:pPr>
        <w:rPr>
          <w:rFonts w:eastAsia="Times New Roman" w:cs="Times New Roman"/>
          <w:szCs w:val="24"/>
          <w:lang w:eastAsia="it-IT"/>
        </w:rPr>
      </w:pPr>
      <w:r w:rsidRPr="002279E2">
        <w:rPr>
          <w:rFonts w:eastAsia="Times New Roman" w:cs="Times New Roman"/>
          <w:szCs w:val="24"/>
          <w:lang w:eastAsia="it-IT"/>
        </w:rPr>
        <w:t xml:space="preserve">L’intervento </w:t>
      </w:r>
      <w:r w:rsidRPr="002279E2">
        <w:rPr>
          <w:rFonts w:eastAsia="Times New Roman" w:cs="Times New Roman"/>
          <w:i/>
          <w:szCs w:val="24"/>
          <w:lang w:eastAsia="it-IT"/>
        </w:rPr>
        <w:t>de quo</w:t>
      </w:r>
      <w:r w:rsidRPr="002279E2">
        <w:rPr>
          <w:rFonts w:eastAsia="Times New Roman" w:cs="Times New Roman"/>
          <w:szCs w:val="24"/>
          <w:lang w:eastAsia="it-IT"/>
        </w:rPr>
        <w:t xml:space="preserve"> è attuato ricorrendo al collaudato schema della “Nuova Sabatini”. Alle imprese – che devono essere necessariamente costituite in forma societaria – verrebbe riconosciuto un contributo, in misura più elevata rispetto a quella standard ordinariamente riconosciuta dalla Nuova Sabatini, per sostenere processi di ricapitalizzazione dell’impresa da parte dei soci.</w:t>
      </w:r>
    </w:p>
    <w:p w:rsidR="00AE7642" w:rsidRPr="002279E2" w:rsidRDefault="00AE7642" w:rsidP="00AE7642">
      <w:pPr>
        <w:rPr>
          <w:rFonts w:eastAsia="Times New Roman" w:cs="Times New Roman"/>
          <w:szCs w:val="24"/>
          <w:lang w:eastAsia="it-IT"/>
        </w:rPr>
      </w:pPr>
      <w:r w:rsidRPr="002279E2">
        <w:rPr>
          <w:rFonts w:eastAsia="Times New Roman" w:cs="Times New Roman"/>
          <w:szCs w:val="24"/>
          <w:lang w:eastAsia="it-IT"/>
        </w:rPr>
        <w:t>Il contributo concesso resta, comunque, correlato a un necessario programma di investimenti dell’impresa.</w:t>
      </w:r>
    </w:p>
    <w:p w:rsidR="00AE7642" w:rsidRPr="002279E2" w:rsidRDefault="00AE7642" w:rsidP="00AE7642">
      <w:pPr>
        <w:rPr>
          <w:rFonts w:eastAsia="Times New Roman" w:cs="Times New Roman"/>
          <w:i/>
          <w:szCs w:val="24"/>
          <w:lang w:eastAsia="it-IT"/>
        </w:rPr>
      </w:pPr>
    </w:p>
    <w:p w:rsidR="00AE7642" w:rsidRPr="002279E2" w:rsidRDefault="00AE7642" w:rsidP="0079774A">
      <w:pPr>
        <w:jc w:val="center"/>
        <w:rPr>
          <w:rFonts w:eastAsia="Times New Roman" w:cs="Times New Roman"/>
          <w:b/>
          <w:szCs w:val="24"/>
          <w:lang w:eastAsia="it-IT"/>
        </w:rPr>
      </w:pPr>
      <w:r w:rsidRPr="002279E2">
        <w:rPr>
          <w:rFonts w:eastAsia="Times New Roman" w:cs="Times New Roman"/>
          <w:b/>
          <w:szCs w:val="24"/>
          <w:lang w:eastAsia="it-IT"/>
        </w:rPr>
        <w:t xml:space="preserve">Relazione </w:t>
      </w:r>
      <w:r w:rsidR="0079774A" w:rsidRPr="002279E2">
        <w:rPr>
          <w:rFonts w:eastAsia="Times New Roman" w:cs="Times New Roman"/>
          <w:b/>
          <w:szCs w:val="24"/>
          <w:lang w:eastAsia="it-IT"/>
        </w:rPr>
        <w:t>tecnica</w:t>
      </w:r>
    </w:p>
    <w:p w:rsidR="00AE7642" w:rsidRPr="002279E2" w:rsidRDefault="00AE7642" w:rsidP="00AE7642">
      <w:pPr>
        <w:rPr>
          <w:rFonts w:eastAsia="Times New Roman" w:cs="Times New Roman"/>
          <w:color w:val="000000"/>
          <w:szCs w:val="24"/>
          <w:lang w:eastAsia="it-IT"/>
        </w:rPr>
      </w:pPr>
      <w:r w:rsidRPr="002279E2">
        <w:rPr>
          <w:rFonts w:eastAsia="Times New Roman" w:cs="Times New Roman"/>
          <w:szCs w:val="24"/>
          <w:lang w:eastAsia="it-IT"/>
        </w:rPr>
        <w:t>Per la copertura finanziaria dell’intervento è prevista un</w:t>
      </w:r>
      <w:r w:rsidRPr="002279E2">
        <w:rPr>
          <w:rFonts w:eastAsia="Times New Roman" w:cs="Times New Roman"/>
          <w:color w:val="000000"/>
          <w:szCs w:val="24"/>
          <w:lang w:eastAsia="it-IT"/>
        </w:rPr>
        <w:t>’autorizzazione di spesa, a integrazione di quella di cui all’articolo 1, comma 200, della legge 30 dicembre 2018, n. 145, per euro 10 milioni per l’anno 2019, per euro 15 milioni per ciascuno degli anni dal 2020 al 2023 e per euro 10 milioni per l’anno 2024.</w:t>
      </w:r>
    </w:p>
    <w:p w:rsidR="003C455E" w:rsidRPr="002279E2" w:rsidRDefault="003C455E" w:rsidP="00612935">
      <w:pPr>
        <w:pStyle w:val="Titolo2"/>
        <w:spacing w:after="0"/>
        <w:rPr>
          <w:sz w:val="24"/>
          <w:szCs w:val="24"/>
        </w:rPr>
      </w:pPr>
    </w:p>
    <w:p w:rsidR="003C455E" w:rsidRPr="002279E2" w:rsidRDefault="006E1D34" w:rsidP="001F7F8D">
      <w:pPr>
        <w:pStyle w:val="Titolo2"/>
      </w:pPr>
      <w:bookmarkStart w:id="47" w:name="_Toc6937351"/>
      <w:r w:rsidRPr="002279E2">
        <w:t xml:space="preserve">Articolo </w:t>
      </w:r>
      <w:r w:rsidR="00832ECF" w:rsidRPr="002279E2">
        <w:t>2</w:t>
      </w:r>
      <w:r w:rsidR="00F523CA">
        <w:t>2</w:t>
      </w:r>
      <w:r w:rsidR="003C455E" w:rsidRPr="002279E2">
        <w:br/>
        <w:t>(Tempi di pagamento tra le imprese)</w:t>
      </w:r>
      <w:bookmarkEnd w:id="47"/>
    </w:p>
    <w:p w:rsidR="00DE0FFF" w:rsidRPr="002279E2" w:rsidRDefault="00DE0FFF" w:rsidP="00625C00">
      <w:pPr>
        <w:rPr>
          <w:rFonts w:cs="Times New Roman"/>
          <w:color w:val="auto"/>
        </w:rPr>
      </w:pPr>
      <w:r w:rsidRPr="002279E2">
        <w:rPr>
          <w:rFonts w:cs="Times New Roman"/>
        </w:rPr>
        <w:t>1. Dopo l’articolo 7-bis del decreto legislativo 9 ottobre 2002</w:t>
      </w:r>
      <w:r w:rsidR="00DA6BDB" w:rsidRPr="009F7E2E">
        <w:rPr>
          <w:rFonts w:cs="Times New Roman"/>
        </w:rPr>
        <w:t>, n. 231</w:t>
      </w:r>
      <w:r w:rsidR="009F7E2E">
        <w:rPr>
          <w:rFonts w:cs="Times New Roman"/>
          <w:b/>
        </w:rPr>
        <w:t xml:space="preserve"> </w:t>
      </w:r>
      <w:r w:rsidRPr="002279E2">
        <w:rPr>
          <w:rFonts w:cs="Times New Roman"/>
        </w:rPr>
        <w:t xml:space="preserve">è inserito il seguente: </w:t>
      </w:r>
    </w:p>
    <w:p w:rsidR="00DE0FFF" w:rsidRPr="002279E2" w:rsidRDefault="00DE0FFF" w:rsidP="00625C00">
      <w:pPr>
        <w:jc w:val="center"/>
        <w:rPr>
          <w:rFonts w:cs="Times New Roman"/>
        </w:rPr>
      </w:pPr>
      <w:r w:rsidRPr="002279E2">
        <w:rPr>
          <w:rFonts w:cs="Times New Roman"/>
          <w:bCs/>
        </w:rPr>
        <w:t>Art. 7-</w:t>
      </w:r>
      <w:r w:rsidRPr="002279E2">
        <w:rPr>
          <w:rFonts w:cs="Times New Roman"/>
          <w:bCs/>
          <w:i/>
          <w:iCs/>
        </w:rPr>
        <w:t>ter</w:t>
      </w:r>
      <w:r w:rsidRPr="002279E2">
        <w:rPr>
          <w:rFonts w:cs="Times New Roman"/>
        </w:rPr>
        <w:t xml:space="preserve"> </w:t>
      </w:r>
    </w:p>
    <w:p w:rsidR="00DE0FFF" w:rsidRPr="002279E2" w:rsidRDefault="00DE0FFF" w:rsidP="00625C00">
      <w:pPr>
        <w:jc w:val="center"/>
        <w:rPr>
          <w:rFonts w:cs="Times New Roman"/>
        </w:rPr>
      </w:pPr>
      <w:r w:rsidRPr="002279E2">
        <w:rPr>
          <w:rFonts w:cs="Times New Roman"/>
          <w:bCs/>
        </w:rPr>
        <w:t>(Evidenza nel bilancio sociale)</w:t>
      </w:r>
    </w:p>
    <w:p w:rsidR="009576F4" w:rsidRPr="002279E2" w:rsidRDefault="009576F4" w:rsidP="009576F4">
      <w:pPr>
        <w:spacing w:after="240"/>
        <w:rPr>
          <w:color w:val="1F497D"/>
          <w:sz w:val="20"/>
        </w:rPr>
      </w:pPr>
      <w:r w:rsidRPr="002279E2">
        <w:rPr>
          <w:szCs w:val="24"/>
        </w:rPr>
        <w:lastRenderedPageBreak/>
        <w:t>A decorrere dall’esercizio 2019, nel bilancio sociale le società danno evidenza dei tempi medi di pagamento delle transazioni effettuate nell’anno, individuando altresì gli eventuali ritardi medi tra i termini pattuiti e quelli effettivamente praticati. I medesimi soggetti danno conto nel bilancio sociale anche delle politiche commerciali adottate con riferimento alle suddette transazioni, nonché delle eventuali azioni poste in essere in relazione ai termini di pagamento.</w:t>
      </w:r>
    </w:p>
    <w:p w:rsidR="00B933A0" w:rsidRPr="002279E2" w:rsidRDefault="00B933A0" w:rsidP="00B933A0">
      <w:pPr>
        <w:jc w:val="center"/>
        <w:rPr>
          <w:b/>
          <w:color w:val="000000"/>
        </w:rPr>
      </w:pPr>
      <w:r w:rsidRPr="002279E2">
        <w:rPr>
          <w:b/>
          <w:color w:val="000000"/>
        </w:rPr>
        <w:t>Relazione illustrativa</w:t>
      </w:r>
    </w:p>
    <w:p w:rsidR="00B933A0" w:rsidRPr="002279E2" w:rsidRDefault="00B933A0" w:rsidP="00B933A0">
      <w:pPr>
        <w:rPr>
          <w:color w:val="000000"/>
        </w:rPr>
      </w:pPr>
      <w:r w:rsidRPr="002279E2">
        <w:rPr>
          <w:color w:val="000000"/>
        </w:rPr>
        <w:t xml:space="preserve">La disposizione è finalizzata a incidere sulla disciplina dei ritardi dei pagamenti nelle transazioni commerciali contenuta nel decreto legislativo 9 ottobre 2002, n. 231, muovendo dal presupposto che la manifestazione all’esterno dei tempi medi di pagamento dell’impresa può costituire un parametro di riferimento utile per i creditori e i contraenti, attuali e potenziali, della società. </w:t>
      </w:r>
    </w:p>
    <w:p w:rsidR="00B933A0" w:rsidRPr="002279E2" w:rsidRDefault="00B933A0" w:rsidP="00B933A0">
      <w:pPr>
        <w:rPr>
          <w:color w:val="000000"/>
        </w:rPr>
      </w:pPr>
      <w:r w:rsidRPr="002279E2">
        <w:rPr>
          <w:color w:val="000000"/>
        </w:rPr>
        <w:t>La conoscenza della regolarità con la quale le società adempiono alle proprie obbligazioni costituisce, pertanto, un parametro di riferimento per contribuire a tutelare i contraenti e creditori della società – i quali potranno pertanto venire a conoscenza di un dato ulteriore relativo all’affidabilità del contraente – e, al tempo stesso, può costituire un utile strumento per stimolare le società ad adempiere tempestivamente alle proprie obbligazioni e, quindi, la competitività tra le imprese.</w:t>
      </w:r>
    </w:p>
    <w:p w:rsidR="00B933A0" w:rsidRPr="002279E2" w:rsidRDefault="00B933A0" w:rsidP="00B933A0">
      <w:pPr>
        <w:rPr>
          <w:color w:val="000000"/>
        </w:rPr>
      </w:pPr>
      <w:r w:rsidRPr="002279E2">
        <w:rPr>
          <w:color w:val="000000"/>
        </w:rPr>
        <w:t>Nel dettaglio, si prevede che nel bilancio sociale le società devono dare evidenza dei tempi medi di pagamento delle transazioni effettuate nell’anno, ponderando il tempo di pagamento di ciascuna transazione per il suo valore e distinguendo quelle verso le grandi imprese, le piccole e medie imprese e le micro imprese.</w:t>
      </w:r>
    </w:p>
    <w:p w:rsidR="00B933A0" w:rsidRPr="002279E2" w:rsidRDefault="00B933A0" w:rsidP="00B933A0">
      <w:pPr>
        <w:rPr>
          <w:color w:val="000000"/>
        </w:rPr>
      </w:pPr>
      <w:r w:rsidRPr="002279E2">
        <w:rPr>
          <w:color w:val="000000"/>
        </w:rPr>
        <w:t>Inoltre, nel bilancio, deve essere riportato il numero e il valore complessivo delle transazioni i cui tempi di pagamento abbiano ecceduto i termini massimi indicati all’articolo 4 del medesimo decreto legislativo, specificando le misure che l’impresa ha adottato per rispettare i tempi.</w:t>
      </w:r>
    </w:p>
    <w:p w:rsidR="00B933A0" w:rsidRPr="002279E2" w:rsidRDefault="00B933A0" w:rsidP="00B933A0">
      <w:pPr>
        <w:rPr>
          <w:color w:val="000000"/>
        </w:rPr>
      </w:pPr>
    </w:p>
    <w:p w:rsidR="00B933A0" w:rsidRPr="002279E2" w:rsidRDefault="00B933A0" w:rsidP="00B933A0">
      <w:pPr>
        <w:jc w:val="center"/>
        <w:rPr>
          <w:b/>
          <w:color w:val="000000"/>
        </w:rPr>
      </w:pPr>
      <w:r w:rsidRPr="002279E2">
        <w:rPr>
          <w:b/>
          <w:color w:val="000000"/>
        </w:rPr>
        <w:t>Relazione tecnica</w:t>
      </w:r>
    </w:p>
    <w:p w:rsidR="00B933A0" w:rsidRPr="002279E2" w:rsidRDefault="00B933A0" w:rsidP="00B933A0">
      <w:pPr>
        <w:rPr>
          <w:color w:val="000000"/>
        </w:rPr>
      </w:pPr>
      <w:r w:rsidRPr="002279E2">
        <w:rPr>
          <w:color w:val="000000"/>
        </w:rPr>
        <w:t>La disposizione, trovando applicazione per le società private, non comporta maggiori oneri a carico della finanza pubblica. Si limita a descrivere un contenuto ulteriore del bilancio delle società, che potrà stimolare la concorrenza, il mercato e consentire alle imprese che adempiono regolarmente alle proprie obbligazioni di essere maggiormente competitive sul mercato.</w:t>
      </w:r>
    </w:p>
    <w:p w:rsidR="00B933A0" w:rsidRPr="002279E2" w:rsidRDefault="00B933A0" w:rsidP="00B933A0">
      <w:pPr>
        <w:rPr>
          <w:lang w:eastAsia="it-IT"/>
        </w:rPr>
      </w:pPr>
    </w:p>
    <w:p w:rsidR="003C455E" w:rsidRPr="002279E2" w:rsidRDefault="0093008D" w:rsidP="00036F36">
      <w:pPr>
        <w:pStyle w:val="Titolo2"/>
      </w:pPr>
      <w:bookmarkStart w:id="48" w:name="_Toc6937352"/>
      <w:r w:rsidRPr="002279E2">
        <w:t>Articolo 2</w:t>
      </w:r>
      <w:r w:rsidR="00F523CA">
        <w:t>3</w:t>
      </w:r>
      <w:r w:rsidR="003C455E" w:rsidRPr="002279E2">
        <w:br/>
        <w:t>(Cartolarizzazioni)</w:t>
      </w:r>
      <w:bookmarkEnd w:id="48"/>
    </w:p>
    <w:p w:rsidR="00592230" w:rsidRPr="002279E2" w:rsidRDefault="00592230" w:rsidP="00592230">
      <w:r w:rsidRPr="002279E2">
        <w:rPr>
          <w:rFonts w:cs="Times New Roman"/>
        </w:rPr>
        <w:t>1. Alla legge 30 aprile 1999, n. 130, sono apportate le seguenti modificazioni:</w:t>
      </w:r>
    </w:p>
    <w:p w:rsidR="00592230" w:rsidRPr="002279E2" w:rsidRDefault="00592230" w:rsidP="00592230">
      <w:r w:rsidRPr="002279E2">
        <w:rPr>
          <w:rFonts w:cs="Times New Roman"/>
        </w:rPr>
        <w:t>a) all’articolo 4, comma 4-ter, sono apportate le seguenti modificazioni:</w:t>
      </w:r>
    </w:p>
    <w:p w:rsidR="00592230" w:rsidRPr="002279E2" w:rsidRDefault="00592230" w:rsidP="00592230">
      <w:r w:rsidRPr="002279E2">
        <w:rPr>
          <w:rFonts w:cs="Times New Roman"/>
        </w:rPr>
        <w:t>1) dopo le parole “aperture di credito” sono aggiunte le seguenti “in qualunque forma”;</w:t>
      </w:r>
    </w:p>
    <w:p w:rsidR="00592230" w:rsidRPr="002279E2" w:rsidRDefault="00592230" w:rsidP="00592230">
      <w:r w:rsidRPr="002279E2">
        <w:rPr>
          <w:rFonts w:cs="Times New Roman"/>
        </w:rPr>
        <w:t>2) è aggiunto, in fine, il seguente periodo “Nel caso di cessione di crediti aventi le caratteristiche di cui al successivo articolo 7.1</w:t>
      </w:r>
      <w:r w:rsidRPr="002279E2">
        <w:rPr>
          <w:rStyle w:val="Enfasigrassetto"/>
          <w:rFonts w:cs="Times New Roman"/>
          <w:b w:val="0"/>
          <w:color w:val="000000"/>
        </w:rPr>
        <w:t>,</w:t>
      </w:r>
      <w:r w:rsidRPr="002279E2">
        <w:rPr>
          <w:rFonts w:cs="Times New Roman"/>
        </w:rPr>
        <w:t xml:space="preserve"> comma </w:t>
      </w:r>
      <w:r w:rsidRPr="002279E2">
        <w:rPr>
          <w:rStyle w:val="Enfasigrassetto"/>
          <w:rFonts w:cs="Times New Roman"/>
          <w:b w:val="0"/>
          <w:color w:val="000000"/>
        </w:rPr>
        <w:t>1</w:t>
      </w:r>
      <w:r w:rsidRPr="002279E2">
        <w:rPr>
          <w:rFonts w:cs="Times New Roman"/>
        </w:rPr>
        <w:t>, la banca cedente può altresì trasferire ad una banca o intermediario finanziario di cui all’articolo 106 del decreto legislativo 1° settembre 1993, n. 385, ai sensi dell’articolo 58 del medesimo decreto legislativo, gli impegni o la facoltà di erogazione derivanti dal relativo contratto di apertura di credito o affidamento, separatamente dal conto cui l’apertura di credito è collegata e mantenendo la domiciliazione del conto medesimo. A seguito della cessione, gli incassi registrati su tale conto continuano a essere imputati ai debiti nascenti dai contratti di apertura di credito o di affidamento, anche se sorti successivamente alla cessione, secondo le modalità contrattualmente previste. Gli incassi costituiscono patrimonio separato a tutti gli effetti da quello della banca cedente domiciliataria del conto e da quello relativo ad altre operazioni. Su ciascun patrimonio separato non sono ammesse azioni da parte di creditori diversi dai portatori dei titoli ovvero dalla banca o dalla società finanziaria di cui all’articolo 106 del decreto legislativo 1° settembre 1993, n. 385 cessionarie degli impegni o delle facoltà di erogazione. Si applicano in quanto compatibili le disposizioni dell’articolo 3, commi 2 e 2-bis.”;</w:t>
      </w:r>
    </w:p>
    <w:p w:rsidR="00592230" w:rsidRPr="002279E2" w:rsidRDefault="00592230" w:rsidP="00592230">
      <w:r w:rsidRPr="002279E2">
        <w:rPr>
          <w:rFonts w:cs="Times New Roman"/>
        </w:rPr>
        <w:t>b) all’articolo 7, comma 1, lettera b-bis), dopo le parole “derivanti dalla titolarità” sono inerite le seguenti: “, in capo alla società di cui all’art. 7.2 della presente legge,”;</w:t>
      </w:r>
    </w:p>
    <w:p w:rsidR="00592230" w:rsidRPr="002279E2" w:rsidRDefault="00592230" w:rsidP="00592230">
      <w:r w:rsidRPr="002279E2">
        <w:rPr>
          <w:rFonts w:cs="Times New Roman"/>
        </w:rPr>
        <w:t>c) all'articolo 7.1 sono apportate le seguenti modificazioni:</w:t>
      </w:r>
    </w:p>
    <w:p w:rsidR="00592230" w:rsidRPr="002279E2" w:rsidRDefault="00592230" w:rsidP="00592230">
      <w:r w:rsidRPr="002279E2">
        <w:rPr>
          <w:rFonts w:cs="Times New Roman"/>
        </w:rPr>
        <w:t>1) al comma 3, sono apportate le seguenti modificazioni:</w:t>
      </w:r>
    </w:p>
    <w:p w:rsidR="00592230" w:rsidRPr="002279E2" w:rsidRDefault="00592230" w:rsidP="00592230">
      <w:r w:rsidRPr="002279E2">
        <w:rPr>
          <w:rFonts w:cs="Times New Roman"/>
        </w:rPr>
        <w:t>(a) le parole “degli articoli 124, 160, 182-bis e 186-bis del regio decreto 16 marzo 1942, n. 267” sono sostituite dalle seguenti “degli articoli 57, 60, 84, 85 e 240 del decreto legislativo 12 gennaio 2019, n. 14 recante “codice della crisi di impresa e dell’insolvenza”;</w:t>
      </w:r>
    </w:p>
    <w:p w:rsidR="00592230" w:rsidRPr="002279E2" w:rsidRDefault="00592230" w:rsidP="00592230">
      <w:r w:rsidRPr="002279E2">
        <w:rPr>
          <w:rFonts w:cs="Times New Roman"/>
        </w:rPr>
        <w:lastRenderedPageBreak/>
        <w:t>(b) è aggiunto, in fine, il seguente periodo: “Il finanziamento può essere concesso anche ad assuntori di passività dei debitori ceduti ovvero a soggetti con i quali i medesimi debitori hanno rapporti di controllo o di collegamento ai sensi dell’articolo 2359 del codice civile.”;</w:t>
      </w:r>
    </w:p>
    <w:p w:rsidR="00592230" w:rsidRPr="002279E2" w:rsidRDefault="00592230" w:rsidP="00592230">
      <w:r w:rsidRPr="002279E2">
        <w:rPr>
          <w:rFonts w:cs="Times New Roman"/>
        </w:rPr>
        <w:t>2) il comma 4 è sostituito dal seguente:</w:t>
      </w:r>
    </w:p>
    <w:p w:rsidR="00592230" w:rsidRPr="002279E2" w:rsidRDefault="00592230" w:rsidP="00592230">
      <w:r w:rsidRPr="002279E2">
        <w:rPr>
          <w:rFonts w:cs="Times New Roman"/>
        </w:rPr>
        <w:t xml:space="preserve">“4. Possono essere costituite una o più società veicolo d’appoggio, nella forma di società di capitali, aventi come oggetto sociale esclusivo il compito di acquisire, gestire e valorizzare, nell’interesse esclusivo dell’operazione di cartolarizzazione, direttamente o attraverso una o più ulteriori società veicolo d’appoggio, autorizzate ad assumere, totalmente o parzialmente, il debito originario, i beni immobili e mobili registrati nonché gli altri beni e diritti concessi o costituiti, in qualunque forma, a garanzia dei crediti oggetto di cartolarizzazione, ivi compresi i beni oggetto di contratti di locazione finanziaria, anche se risolti, eventualmente insieme con i rapporti derivanti da tali contratti. Il trasferimento dei suddetti beni e diritti può avvenire anche ai sensi dei commi 2 e 3 dell’articolo 58 del testo unico bancario, nonché dei commi 4, 5 e 6 del medesimo articolo, anche se non avente a oggetto beni o rapporti giuridici individuabili in blocco. Le stesse modalità si applicano ai trasferimenti ai sensi del comma 5 del presente </w:t>
      </w:r>
      <w:r w:rsidRPr="002279E2">
        <w:rPr>
          <w:rStyle w:val="Enfasigrassetto"/>
          <w:rFonts w:cs="Times New Roman"/>
          <w:b w:val="0"/>
          <w:color w:val="000000"/>
        </w:rPr>
        <w:t>articolo</w:t>
      </w:r>
      <w:r w:rsidRPr="002279E2">
        <w:rPr>
          <w:rFonts w:cs="Times New Roman"/>
        </w:rPr>
        <w:t xml:space="preserve">. Le somme in qualsiasi modo rivenienti dalla detenzione, gestione o dismissione di tali beni e diritti sono dovute dalla società veicolo d’appoggio alla società di cartolarizzazione di cui all'articolo 3, sono assimilate, agli effetti della presente legge, ai pagamenti effettuati dai debitori ceduti e sono destinate in via esclusiva al soddisfacimento dei diritti incorporati nei titoli emessi e al pagamento dei costi dell'operazione. I beni, diritti e le somme in qualsiasi modo derivanti dai medesimi nonché ogni altro diritto acquisito nell’ambito dell’operazione di cui al presente comma, o al successivo comma 5, costituiscono patrimonio separato a tutti gli effetti da quello delle società stesse e da quello relativo alle altre operazioni. Sul patrimonio separato non sono ammesse azioni da parte di creditori diversi dalla società di cartolarizzazione </w:t>
      </w:r>
      <w:r w:rsidRPr="002279E2">
        <w:rPr>
          <w:rStyle w:val="Enfasigrassetto"/>
          <w:rFonts w:cs="Times New Roman"/>
          <w:b w:val="0"/>
          <w:color w:val="000000"/>
        </w:rPr>
        <w:t xml:space="preserve">nell’interesse dei </w:t>
      </w:r>
      <w:r w:rsidRPr="002279E2">
        <w:rPr>
          <w:rFonts w:cs="Times New Roman"/>
        </w:rPr>
        <w:t>portatori dei titoli emessi dalla società per la cartolarizzazione dei crediti.”.</w:t>
      </w:r>
    </w:p>
    <w:p w:rsidR="00592230" w:rsidRPr="002279E2" w:rsidRDefault="00592230" w:rsidP="00592230">
      <w:r w:rsidRPr="002279E2">
        <w:rPr>
          <w:rFonts w:cs="Times New Roman"/>
        </w:rPr>
        <w:t>3) dopo il comma 4 sono aggiunti i seguenti commi:</w:t>
      </w:r>
    </w:p>
    <w:p w:rsidR="00592230" w:rsidRPr="002279E2" w:rsidRDefault="00592230" w:rsidP="00592230">
      <w:r w:rsidRPr="002279E2">
        <w:rPr>
          <w:rFonts w:cs="Times New Roman"/>
        </w:rPr>
        <w:t>“4-bis. Si applicano le imposte di registro, ipotecaria e catastale in misura fissa sugli atti e le operazioni inerenti il trasferimento a qualsiasi titolo, anche in sede giudiziale o concorsuale, dei beni e diritti di cui ai commi 4 e 5, in favore della società veicolo d’appoggio, inclusi eventuali accolli di debito, e le garanzie di qualunque tipo, da chiunque e in qualsiasi momento prestate, in favore della società di cartolarizzazione o altro finanziatore ed in relazione all’operazione di cartolarizzazione, a valere sui beni e diritti acquistati dalle società veicolo d’appoggio ai sensi del comma 4, le relative eventuali surroghe, postergazioni, frazionamenti e cancellazioni anche parziali, ivi comprese le relative cessioni di credito.</w:t>
      </w:r>
    </w:p>
    <w:p w:rsidR="00592230" w:rsidRPr="002279E2" w:rsidRDefault="00592230" w:rsidP="00592230">
      <w:r w:rsidRPr="002279E2">
        <w:rPr>
          <w:rFonts w:cs="Times New Roman"/>
        </w:rPr>
        <w:t xml:space="preserve">4-ter. Alla società veicolo d’appoggio cessionaria dei contratti e rapporti di locazione finanziaria e dei beni derivanti da tale attività si applicano le disposizioni in materia fiscale applicabili alle società che esercitano attività di locazione finanziaria. Alle cessioni di immobili oggetto di contratti di leasing risolti o altrimenti cessati per fatto dell'utilizzatore effettuate alla e dalla medesima società si applica l'articolo 35, comma 10-ter.1, del decreto-legge 4 luglio 2006, n. 223, convertito, con modificazioni, dalla legge 4 agosto 2006, n. 248. Per le trascrizioni nei pubblici registri e volture catastali effettuate a qualunque titolo in relazione ai beni </w:t>
      </w:r>
      <w:r w:rsidRPr="002279E2">
        <w:rPr>
          <w:rStyle w:val="Enfasigrassetto"/>
          <w:rFonts w:cs="Times New Roman"/>
          <w:b w:val="0"/>
          <w:color w:val="000000"/>
        </w:rPr>
        <w:t xml:space="preserve">e diritti </w:t>
      </w:r>
      <w:r w:rsidRPr="002279E2">
        <w:rPr>
          <w:rFonts w:cs="Times New Roman"/>
        </w:rPr>
        <w:t>acquisiti dalla società veicolo d’appoggio le imposte di registro, ipotecaria e catastale sono dovute in misura fissa.</w:t>
      </w:r>
    </w:p>
    <w:p w:rsidR="00592230" w:rsidRPr="002279E2" w:rsidRDefault="00592230" w:rsidP="00592230">
      <w:r w:rsidRPr="002279E2">
        <w:rPr>
          <w:rFonts w:cs="Times New Roman"/>
        </w:rPr>
        <w:t>4-quater. Per gli atti e i provvedimenti recanti il successivo trasferimento, a favore di soggetti che svolgono attività d’impresa, della proprietà o di diritti reali, anche di garanzia, sui beni immobili acquistati dalle società veicolo d’appoggio in relazione all’operazione di cartolarizzazione, le imposte di registro, ipotecaria e catastale sono dovute in misura fissa, a condizione che l’acquirente dichiari, nel relativo atto, che intende trasferirli entro cinque anni dalla data di acquisto. Ove non si realizzi tale condizione entro il quinquennio successivo, le imposte di registro, ipotecaria e catastale sono dovute dall’acquirente nella misura ordinaria e si applica una sanzione amministrativa del 30 per cento, oltre agli interessi di mora di cui all’articolo 55, comma 3, del testo unico delle disposizioni concernenti l’imposta di registro, di cui al decreto del Presidente della Repubblica 26 aprile 1986, n. 131. Dalla scadenza del quinquennio decorre il termine per il recupero delle imposte ordinarie da parte dell’amministrazione finanziaria. Resta fermo quanto previsto dal successivo comma 5 del presente articolo 7.1.</w:t>
      </w:r>
    </w:p>
    <w:p w:rsidR="00592230" w:rsidRPr="002279E2" w:rsidRDefault="00592230" w:rsidP="00592230">
      <w:r w:rsidRPr="002279E2">
        <w:rPr>
          <w:rFonts w:cs="Times New Roman"/>
        </w:rPr>
        <w:t>4-quinquies. Gli atti e i provvedimenti di cui al comma 4</w:t>
      </w:r>
      <w:r w:rsidR="00EF5748" w:rsidRPr="002279E2">
        <w:rPr>
          <w:rFonts w:cs="Times New Roman"/>
        </w:rPr>
        <w:t>-</w:t>
      </w:r>
      <w:r w:rsidRPr="002279E2">
        <w:rPr>
          <w:rStyle w:val="Enfasigrassetto"/>
          <w:rFonts w:cs="Times New Roman"/>
          <w:b w:val="0"/>
          <w:color w:val="000000"/>
        </w:rPr>
        <w:t>quater</w:t>
      </w:r>
      <w:r w:rsidRPr="002279E2">
        <w:rPr>
          <w:rFonts w:cs="Times New Roman"/>
        </w:rPr>
        <w:t xml:space="preserve"> emessi a favore di soggetti che non svolgono attività d’impresa sono assoggettati alle imposte di registro, ipotecaria e catastale nella misura fissa di 200 euro ciascuna sempre che in capo all’acquirente ricorrano le condizioni previste alla nota II-bis) all’articolo 1 della tariffa, parte prima, allegata al testo unico delle disposizioni concernenti l’imposta di registro, di cui al decreto del Presidente della Repubblica 26 aprile 1986, n. 131. In caso di dichiarazione mendace nell’atto di </w:t>
      </w:r>
      <w:r w:rsidRPr="002279E2">
        <w:rPr>
          <w:rFonts w:cs="Times New Roman"/>
        </w:rPr>
        <w:lastRenderedPageBreak/>
        <w:t>acquisto, ovvero di rivendita nel quinquennio dalla data dell’atto, si applicano le disposizioni indicate nella predetta nota.”.</w:t>
      </w:r>
    </w:p>
    <w:p w:rsidR="00592230" w:rsidRPr="002279E2" w:rsidRDefault="00592230" w:rsidP="00592230">
      <w:r w:rsidRPr="002279E2">
        <w:rPr>
          <w:rFonts w:cs="Times New Roman"/>
        </w:rPr>
        <w:t>4) al comma 5, sono apportate le seguenti modificazioni:</w:t>
      </w:r>
    </w:p>
    <w:p w:rsidR="00592230" w:rsidRPr="002279E2" w:rsidRDefault="00592230" w:rsidP="00592230">
      <w:r w:rsidRPr="002279E2">
        <w:rPr>
          <w:rFonts w:cs="Times New Roman"/>
        </w:rPr>
        <w:t xml:space="preserve">a) le parole “di tali contratti, la società veicolo” sono sostituite dalle seguenti: “di tali contratti, la società veicolo d’appoggio”; </w:t>
      </w:r>
    </w:p>
    <w:p w:rsidR="00592230" w:rsidRPr="002279E2" w:rsidRDefault="00592230" w:rsidP="00592230">
      <w:r w:rsidRPr="002279E2">
        <w:rPr>
          <w:rFonts w:cs="Times New Roman"/>
        </w:rPr>
        <w:t>b) le parole “nel bilancio di una banca” sono sostituite dalle seguenti “nel bilancio di una banca o di un intermediario finanziario di cui all’articolo 106 del decreto legislativo 1° settembre 1993, n. 385”;</w:t>
      </w:r>
    </w:p>
    <w:p w:rsidR="00592230" w:rsidRPr="002279E2" w:rsidRDefault="00592230" w:rsidP="00592230">
      <w:r w:rsidRPr="002279E2">
        <w:rPr>
          <w:rFonts w:cs="Times New Roman"/>
        </w:rPr>
        <w:t>c) dopo le parole “si applicano integralmente alla società veicolo” è inserita la seguente: “d’appoggio”.</w:t>
      </w:r>
    </w:p>
    <w:p w:rsidR="00592230" w:rsidRPr="002279E2" w:rsidRDefault="00592230" w:rsidP="00592230">
      <w:pPr>
        <w:rPr>
          <w:rFonts w:cs="Times New Roman"/>
        </w:rPr>
      </w:pPr>
      <w:r w:rsidRPr="002279E2">
        <w:rPr>
          <w:rFonts w:cs="Times New Roman"/>
        </w:rPr>
        <w:t xml:space="preserve">d) dopo l’articolo 7.1, è aggiunto il seguente: </w:t>
      </w:r>
    </w:p>
    <w:p w:rsidR="00592230" w:rsidRPr="002279E2" w:rsidRDefault="00592230" w:rsidP="00592230">
      <w:pPr>
        <w:jc w:val="center"/>
      </w:pPr>
      <w:r w:rsidRPr="002279E2">
        <w:rPr>
          <w:rFonts w:cs="Times New Roman"/>
        </w:rPr>
        <w:t>“Art. 7.2</w:t>
      </w:r>
    </w:p>
    <w:p w:rsidR="00592230" w:rsidRPr="002279E2" w:rsidRDefault="00592230" w:rsidP="00592230">
      <w:pPr>
        <w:jc w:val="center"/>
        <w:rPr>
          <w:rFonts w:cs="Times New Roman"/>
        </w:rPr>
      </w:pPr>
      <w:r w:rsidRPr="002279E2">
        <w:rPr>
          <w:rFonts w:cs="Times New Roman"/>
        </w:rPr>
        <w:t>(</w:t>
      </w:r>
      <w:r w:rsidRPr="002279E2">
        <w:rPr>
          <w:rStyle w:val="Enfasicorsivo"/>
          <w:rFonts w:cs="Times New Roman"/>
          <w:color w:val="000000"/>
        </w:rPr>
        <w:t>Cartolarizzazioni Immobiliari e di beni mobili registrati</w:t>
      </w:r>
      <w:r w:rsidRPr="002279E2">
        <w:rPr>
          <w:rFonts w:cs="Times New Roman"/>
        </w:rPr>
        <w:t>)</w:t>
      </w:r>
    </w:p>
    <w:p w:rsidR="00592230" w:rsidRPr="002279E2" w:rsidRDefault="00592230" w:rsidP="00592230">
      <w:pPr>
        <w:rPr>
          <w:rFonts w:cs="Times New Roman"/>
        </w:rPr>
      </w:pPr>
      <w:r w:rsidRPr="002279E2">
        <w:rPr>
          <w:rFonts w:cs="Times New Roman"/>
        </w:rPr>
        <w:t>1. Le società che effettuano le operazioni di cui all’articolo 7, comma 1, lettera b-bis, non possono svolgere operazioni di cartolarizzazione di natura diversa da quelle indicate dall’articolo 7, comma 1, lettera b-bis. Delle obbligazioni nei confronti dei portatori dei titoli, nonché di ogni altro creditore nell’ambito di ciascuna operazione di cartolarizzazione, risponde esclusivamente il patrimonio separato con i beni e diritti di cui al comma 2 del presente articolo. A tali operazioni si applicano le disposizioni di cui all'art.7.1, comma 8, primo periodo.</w:t>
      </w:r>
      <w:r w:rsidRPr="002279E2">
        <w:rPr>
          <w:rFonts w:cs="Times New Roman"/>
        </w:rPr>
        <w:br/>
        <w:t>2. Per ogni operazione sono individuati i beni ed i diritti destinati al soddisfacimento dei diritti dei portatori dei titoli e delle controparti dei contratti derivati con finalità di copertura dei rischi insiti nei crediti e nei titoli ceduti. I beni e diritti individuati, le somme in qualsiasi modo derivanti dai medesimi beni, nonché ogni altro diritto acquisito nell’ambito dell’operazione di cartolarizzazione dalle società di cui al comma 1 costituiscono patrimonio separato a tutti gli effetti da quello delle società stesse e da quello relativo alle altre operazioni. Su ciascun patrimonio separato non sono ammesse azioni da parte di qualsiasi creditore diverso dai portatori dei titoli emessi dalle società ovvero dai concedenti i finanziamenti da esse reperiti ovvero dalle controparti dei contratti derivati con finalità di copertura dei rischi insiti nei crediti e nei titoli ceduti.</w:t>
      </w:r>
    </w:p>
    <w:p w:rsidR="00592230" w:rsidRPr="002279E2" w:rsidRDefault="00592230" w:rsidP="00592230">
      <w:pPr>
        <w:rPr>
          <w:rFonts w:cs="Times New Roman"/>
        </w:rPr>
      </w:pPr>
      <w:r w:rsidRPr="002279E2">
        <w:rPr>
          <w:rFonts w:cs="Times New Roman"/>
        </w:rPr>
        <w:t>2) Per le finalità di cui al presente articolo, la dotazione del fondo di cui all’articolo 1, comma 200, della legge 23 dicembre 2014, n. 190, è ridotto di 26,6 milioni di euro annui a decorrere dall’anno 2019.</w:t>
      </w:r>
    </w:p>
    <w:p w:rsidR="00592230" w:rsidRPr="002279E2" w:rsidRDefault="00592230" w:rsidP="00592230">
      <w:pPr>
        <w:pStyle w:val="Testonormale"/>
        <w:rPr>
          <w:rFonts w:ascii="Times New Roman" w:hAnsi="Times New Roman" w:cs="Times New Roman"/>
          <w:sz w:val="22"/>
          <w:szCs w:val="24"/>
        </w:rPr>
      </w:pPr>
    </w:p>
    <w:p w:rsidR="00592230" w:rsidRPr="002279E2" w:rsidRDefault="00592230" w:rsidP="00592230">
      <w:pPr>
        <w:jc w:val="center"/>
        <w:rPr>
          <w:b/>
          <w:lang w:eastAsia="it-IT"/>
        </w:rPr>
      </w:pPr>
      <w:r w:rsidRPr="002279E2">
        <w:rPr>
          <w:b/>
          <w:lang w:eastAsia="it-IT"/>
        </w:rPr>
        <w:t xml:space="preserve">Relazione illustrativa </w:t>
      </w:r>
    </w:p>
    <w:p w:rsidR="00592230" w:rsidRPr="002279E2" w:rsidRDefault="00592230" w:rsidP="00592230">
      <w:pPr>
        <w:rPr>
          <w:rFonts w:cs="Times New Roman"/>
          <w:szCs w:val="24"/>
        </w:rPr>
      </w:pPr>
      <w:r w:rsidRPr="002279E2">
        <w:rPr>
          <w:rFonts w:cs="Times New Roman"/>
          <w:szCs w:val="24"/>
        </w:rPr>
        <w:t xml:space="preserve">La legge n. 130 del 30 aprile 1999 ha disciplinato l’operazione di cartolarizzazione che, molto sinteticamente, si realizza in un procedimento attraverso il quale un gruppo di crediti pecuniari, presenti o futuri, individuabili in blocco, viene ceduto a titolo oneroso a una società cessionaria (denominata “società per la cartolarizzazione dei crediti” e genericamente conosciuta nel linguaggio economico come società veicolo o SPV, dall’inglese Special Purpose Vehicle) che ha come scopo esclusivo la realizzazione di una o più operazioni di emissione di titoli che incorporano i crediti ceduti. Gli acquirenti dei titoli obbligazionari sono i destinatari finali delle somme corrisposte dai debitori ceduti in relazione ai crediti oggetto di cessione. </w:t>
      </w:r>
    </w:p>
    <w:p w:rsidR="00592230" w:rsidRPr="002279E2" w:rsidRDefault="00592230" w:rsidP="00592230">
      <w:pPr>
        <w:rPr>
          <w:rFonts w:cs="Times New Roman"/>
          <w:szCs w:val="24"/>
        </w:rPr>
      </w:pPr>
      <w:r w:rsidRPr="002279E2">
        <w:rPr>
          <w:rFonts w:cs="Times New Roman"/>
          <w:szCs w:val="24"/>
        </w:rPr>
        <w:t xml:space="preserve">Tale schema è incentrato sulla separazione del patrimonio costituito dai crediti, che fa capo alla società veicolo, i cui proventi sono destinati esclusivamente al rimborso dei portatori dei titoli e al pagamento dei costi dell’operazione. </w:t>
      </w:r>
    </w:p>
    <w:p w:rsidR="00592230" w:rsidRPr="002279E2" w:rsidRDefault="00592230" w:rsidP="00592230">
      <w:pPr>
        <w:rPr>
          <w:rFonts w:cs="Times New Roman"/>
          <w:szCs w:val="24"/>
        </w:rPr>
      </w:pPr>
      <w:r w:rsidRPr="002279E2">
        <w:rPr>
          <w:rFonts w:cs="Times New Roman"/>
          <w:szCs w:val="24"/>
        </w:rPr>
        <w:t>Nel tempo la legge n. 130 ha subito alcune modifiche, essenzialmente per tenere la legge al passo con l’evoluzione della pratica commerciale.</w:t>
      </w:r>
    </w:p>
    <w:p w:rsidR="00592230" w:rsidRPr="002279E2" w:rsidRDefault="00592230" w:rsidP="00592230">
      <w:pPr>
        <w:numPr>
          <w:ilvl w:val="1"/>
          <w:numId w:val="0"/>
        </w:numPr>
        <w:ind w:left="2" w:hanging="2"/>
        <w:rPr>
          <w:rFonts w:eastAsia="Helvetica" w:cs="Times New Roman"/>
          <w:szCs w:val="24"/>
        </w:rPr>
      </w:pPr>
      <w:r w:rsidRPr="002279E2">
        <w:rPr>
          <w:rFonts w:cs="Times New Roman"/>
          <w:szCs w:val="24"/>
        </w:rPr>
        <w:t>Più recentemente la legge è stata modificata dal decreto legge n. 50 del 24 aprile 2017, convertito in legge n. 96 del 21 giugno 2017. Tale ultima riforma ha incluso in particolare l’articolo 7.1, che ha introdotto una disciplina specifica per la cartolarizzazione di crediti deteriorati di banche e intermediari finanziari, l</w:t>
      </w:r>
      <w:r w:rsidRPr="002279E2">
        <w:rPr>
          <w:rFonts w:eastAsia="Helvetica" w:cs="Times New Roman"/>
          <w:szCs w:val="24"/>
        </w:rPr>
        <w:t xml:space="preserve">egata al problema della mole dei crediti deteriorati che, a seguito della crisi finanziaria e della successiva crisi economica appesantiscono il bilancio delle banche italiane. Come noto, il problema del volume degli asset deteriorati è all’attenzione delle istituzioni europee e internazionali ed è richiesta alle banche una gestione attiva dei crediti deteriorati, ma anche una più veloce dismissione ovvero una più rigorosa svalutazione del loro. </w:t>
      </w:r>
    </w:p>
    <w:p w:rsidR="00592230" w:rsidRPr="002279E2" w:rsidRDefault="00592230" w:rsidP="00592230">
      <w:pPr>
        <w:numPr>
          <w:ilvl w:val="1"/>
          <w:numId w:val="0"/>
        </w:numPr>
        <w:ind w:left="2" w:hanging="2"/>
        <w:rPr>
          <w:rFonts w:eastAsia="Helvetica" w:cs="Times New Roman"/>
          <w:szCs w:val="24"/>
        </w:rPr>
      </w:pPr>
      <w:r w:rsidRPr="002279E2">
        <w:rPr>
          <w:rFonts w:eastAsia="Helvetica" w:cs="Times New Roman"/>
          <w:szCs w:val="24"/>
        </w:rPr>
        <w:t xml:space="preserve">In considerazione della limitatezza del mercato secondario dei crediti deteriorati, sostanzialmente oligopolistico, è necessario ampliare il range degli strumenti a disposizione delle banche per la cessione dei crediti deteriorati. </w:t>
      </w:r>
    </w:p>
    <w:p w:rsidR="00592230" w:rsidRPr="002279E2" w:rsidRDefault="00592230" w:rsidP="00592230">
      <w:pPr>
        <w:numPr>
          <w:ilvl w:val="1"/>
          <w:numId w:val="0"/>
        </w:numPr>
        <w:ind w:left="2" w:hanging="2"/>
        <w:rPr>
          <w:rFonts w:eastAsia="Helvetica" w:cs="Times New Roman"/>
          <w:szCs w:val="24"/>
        </w:rPr>
      </w:pPr>
      <w:r w:rsidRPr="002279E2">
        <w:rPr>
          <w:rFonts w:eastAsia="Helvetica" w:cs="Times New Roman"/>
          <w:szCs w:val="24"/>
        </w:rPr>
        <w:t xml:space="preserve">Uno dei tool a disposizione è quello della cartolarizzazione dei crediti deteriorati: con l’intervento legislativo de quo, il legislatore si è posto l’obiettivo di consentire operazioni di cartolarizzazione, più complesse di quelle della cartolarizzazione del credito in bonis, volte a migliorare le prospettive di recupero e incasso del </w:t>
      </w:r>
      <w:r w:rsidRPr="002279E2">
        <w:rPr>
          <w:rFonts w:eastAsia="Helvetica" w:cs="Times New Roman"/>
          <w:szCs w:val="24"/>
        </w:rPr>
        <w:lastRenderedPageBreak/>
        <w:t>credito attraverso interventi mirati alla disciplina relativa alle cartolarizzazioni contenuta nella legge 130 del 1999.</w:t>
      </w:r>
    </w:p>
    <w:p w:rsidR="00592230" w:rsidRPr="002279E2" w:rsidRDefault="00592230" w:rsidP="00592230">
      <w:pPr>
        <w:rPr>
          <w:rFonts w:cs="Times New Roman"/>
          <w:szCs w:val="24"/>
        </w:rPr>
      </w:pPr>
      <w:r w:rsidRPr="002279E2">
        <w:rPr>
          <w:rFonts w:cs="Times New Roman"/>
          <w:szCs w:val="24"/>
        </w:rPr>
        <w:t>Da ultimo è intervenuta la legge 30 dicembre 2018, n. 145, con aggiustamenti mirati relativi: (i) alle cartolarizzazioni il cui sottostante non sono crediti bensì titoli obbligazionari; (ii) alla platea di destinatari di finanziamenti erogati dalla società di cartolarizzazione; (ii) alle cartolarizzazione sintetiche; (iv) previsioni di operazioni di cartolarizzazione dei proventi derivanti dalla titolarità di beni immobili.</w:t>
      </w:r>
    </w:p>
    <w:p w:rsidR="00592230" w:rsidRPr="002279E2" w:rsidRDefault="00592230" w:rsidP="00592230">
      <w:pPr>
        <w:pStyle w:val="Testonormale"/>
        <w:rPr>
          <w:rFonts w:ascii="Times New Roman" w:hAnsi="Times New Roman" w:cs="Times New Roman"/>
          <w:sz w:val="22"/>
          <w:szCs w:val="24"/>
        </w:rPr>
      </w:pPr>
      <w:r w:rsidRPr="002279E2">
        <w:rPr>
          <w:rFonts w:ascii="Times New Roman" w:hAnsi="Times New Roman" w:cs="Times New Roman"/>
          <w:sz w:val="22"/>
          <w:szCs w:val="24"/>
        </w:rPr>
        <w:t>L’intervento in esame è diretto a completare il processo di riforma e a tal fine esso prevede misure specifiche volte a: (i) facilitare le operazioni di trasferimento delle posizioni classificate come inadempienze probabili (UTP); (ii) ampliare le modalità con cui le società di cartolarizzazione possono intervenire a sostegno dei debitori ceduti; (iii) consentire la costituzione di più società veicolo di appoggio, invece di una sola come previsto dall’articolo 7.1 vigente, per l’attività di acquisizione, gestione e valorizzazione dei beni, realizzata nell'interesse esclusivo dell'operazione di cartolarizzazione; (iv) introdurre specifiche disposizioni volte a rendere fiscalmente neutrale l’intervento della società veicolo d’appoggio nella monetizzazione dei beni (tipicamente immobili) a garanzia dei crediti cartolarizzati; (v) introdurre una modalità di cartolarizzazione che ha come bene sottostante non crediti, bensì beni immobili, beni mobili registrati e diritti reali o personali aventi ad oggetto i medesimi beni.</w:t>
      </w:r>
    </w:p>
    <w:p w:rsidR="00592230" w:rsidRPr="002279E2" w:rsidRDefault="00592230" w:rsidP="00592230">
      <w:pPr>
        <w:pStyle w:val="Testonormale"/>
        <w:rPr>
          <w:rFonts w:ascii="Times New Roman" w:hAnsi="Times New Roman" w:cs="Times New Roman"/>
          <w:i/>
          <w:sz w:val="22"/>
          <w:szCs w:val="24"/>
        </w:rPr>
      </w:pPr>
      <w:r w:rsidRPr="002279E2">
        <w:rPr>
          <w:rFonts w:ascii="Times New Roman" w:hAnsi="Times New Roman" w:cs="Times New Roman"/>
          <w:i/>
          <w:sz w:val="22"/>
          <w:szCs w:val="24"/>
        </w:rPr>
        <w:t>Modifiche all’articolo 4, comma 4-ter.</w:t>
      </w:r>
    </w:p>
    <w:p w:rsidR="00592230" w:rsidRPr="002279E2" w:rsidRDefault="00592230" w:rsidP="00592230">
      <w:pPr>
        <w:pStyle w:val="Testonormale"/>
        <w:rPr>
          <w:rFonts w:ascii="Times New Roman" w:hAnsi="Times New Roman" w:cs="Times New Roman"/>
          <w:sz w:val="22"/>
          <w:szCs w:val="24"/>
        </w:rPr>
      </w:pPr>
      <w:r w:rsidRPr="002279E2">
        <w:rPr>
          <w:rFonts w:ascii="Times New Roman" w:hAnsi="Times New Roman" w:cs="Times New Roman"/>
          <w:sz w:val="22"/>
          <w:szCs w:val="24"/>
        </w:rPr>
        <w:t>Le modifiche sono volte a facilitare le operazioni di trasferimento, in particolare delle posizioni classificate come inadempienze probabili (UtP) evitando la chiusura dei contratti di apertura di credito, permettendo il trasferimento degli impegni di erogazione a una banca o a un intermediario finanziario e consentendo il mantenimento del conto presso la banca cedente.</w:t>
      </w:r>
    </w:p>
    <w:p w:rsidR="00592230" w:rsidRPr="002279E2" w:rsidRDefault="00592230" w:rsidP="00592230">
      <w:pPr>
        <w:pStyle w:val="Testonormale"/>
        <w:rPr>
          <w:rFonts w:ascii="Times New Roman" w:hAnsi="Times New Roman" w:cs="Times New Roman"/>
          <w:i/>
          <w:sz w:val="22"/>
          <w:szCs w:val="24"/>
        </w:rPr>
      </w:pPr>
      <w:r w:rsidRPr="002279E2">
        <w:rPr>
          <w:rFonts w:ascii="Times New Roman" w:hAnsi="Times New Roman" w:cs="Times New Roman"/>
          <w:i/>
          <w:sz w:val="22"/>
          <w:szCs w:val="24"/>
        </w:rPr>
        <w:t>Modifiche all’articolo 7, comma 1, lettera b-bis</w:t>
      </w:r>
    </w:p>
    <w:p w:rsidR="00592230" w:rsidRPr="002279E2" w:rsidRDefault="00592230" w:rsidP="00592230">
      <w:pPr>
        <w:pStyle w:val="Testonormale"/>
        <w:rPr>
          <w:rFonts w:ascii="Times New Roman" w:hAnsi="Times New Roman" w:cs="Times New Roman"/>
          <w:sz w:val="22"/>
          <w:szCs w:val="24"/>
        </w:rPr>
      </w:pPr>
      <w:r w:rsidRPr="002279E2">
        <w:rPr>
          <w:rFonts w:ascii="Times New Roman" w:hAnsi="Times New Roman" w:cs="Times New Roman"/>
          <w:sz w:val="22"/>
          <w:szCs w:val="24"/>
        </w:rPr>
        <w:t>Modifica volta a coordinare la disposizione in oggetto con l’articolo 7.2, di nuova introduzione, che disciplina in maniera specifica le cartolarizzazioni di beni immobili.</w:t>
      </w:r>
    </w:p>
    <w:p w:rsidR="00592230" w:rsidRPr="002279E2" w:rsidRDefault="00592230" w:rsidP="00592230">
      <w:pPr>
        <w:pStyle w:val="Testonormale"/>
        <w:rPr>
          <w:rFonts w:ascii="Times New Roman" w:hAnsi="Times New Roman" w:cs="Times New Roman"/>
          <w:i/>
          <w:sz w:val="22"/>
          <w:szCs w:val="24"/>
        </w:rPr>
      </w:pPr>
      <w:r w:rsidRPr="002279E2">
        <w:rPr>
          <w:rFonts w:ascii="Times New Roman" w:hAnsi="Times New Roman" w:cs="Times New Roman"/>
          <w:i/>
          <w:sz w:val="22"/>
          <w:szCs w:val="24"/>
        </w:rPr>
        <w:t>Modifiche all’articolo 7.1</w:t>
      </w:r>
    </w:p>
    <w:p w:rsidR="00592230" w:rsidRPr="002279E2" w:rsidRDefault="00592230" w:rsidP="00826FD7">
      <w:pPr>
        <w:pStyle w:val="Testonormale"/>
        <w:numPr>
          <w:ilvl w:val="0"/>
          <w:numId w:val="22"/>
        </w:numPr>
        <w:ind w:hanging="720"/>
        <w:rPr>
          <w:rFonts w:ascii="Times New Roman" w:hAnsi="Times New Roman" w:cs="Times New Roman"/>
          <w:sz w:val="22"/>
          <w:szCs w:val="24"/>
        </w:rPr>
      </w:pPr>
      <w:r w:rsidRPr="002279E2">
        <w:rPr>
          <w:rFonts w:ascii="Times New Roman" w:hAnsi="Times New Roman" w:cs="Times New Roman"/>
          <w:sz w:val="22"/>
          <w:szCs w:val="24"/>
        </w:rPr>
        <w:t>Modifiche al comma 3</w:t>
      </w:r>
    </w:p>
    <w:p w:rsidR="00592230" w:rsidRPr="002279E2" w:rsidRDefault="00592230" w:rsidP="00592230">
      <w:pPr>
        <w:pStyle w:val="Testonormale"/>
        <w:rPr>
          <w:rFonts w:ascii="Times New Roman" w:hAnsi="Times New Roman" w:cs="Times New Roman"/>
          <w:sz w:val="22"/>
          <w:szCs w:val="24"/>
        </w:rPr>
      </w:pPr>
      <w:r w:rsidRPr="002279E2">
        <w:rPr>
          <w:rFonts w:ascii="Times New Roman" w:hAnsi="Times New Roman" w:cs="Times New Roman"/>
          <w:sz w:val="22"/>
          <w:szCs w:val="24"/>
        </w:rPr>
        <w:t>Il comma 3 è modificato per aggiornare i riferimenti normativi al codice della crisi di impresa e dell’insolvenza e per permettere la concessione di finanziamenti ad assuntori di passività dei debitori ceduti (si pensi ad esempio ai fideiussori), ovvero a soggetti con i quali i medesimi debitori hanno rapporti di controllo e collegamento ai sensi dell’articolo 2359 del codice civile (si pensi ai gruppi di imprese).</w:t>
      </w:r>
    </w:p>
    <w:p w:rsidR="00592230" w:rsidRPr="002279E2" w:rsidRDefault="00592230" w:rsidP="00826FD7">
      <w:pPr>
        <w:pStyle w:val="Testonormale"/>
        <w:numPr>
          <w:ilvl w:val="0"/>
          <w:numId w:val="22"/>
        </w:numPr>
        <w:ind w:hanging="720"/>
        <w:rPr>
          <w:rFonts w:ascii="Times New Roman" w:hAnsi="Times New Roman" w:cs="Times New Roman"/>
          <w:sz w:val="22"/>
          <w:szCs w:val="24"/>
        </w:rPr>
      </w:pPr>
      <w:r w:rsidRPr="002279E2">
        <w:rPr>
          <w:rFonts w:ascii="Times New Roman" w:hAnsi="Times New Roman" w:cs="Times New Roman"/>
          <w:sz w:val="22"/>
          <w:szCs w:val="24"/>
        </w:rPr>
        <w:t>Modifiche al comma 4</w:t>
      </w:r>
    </w:p>
    <w:p w:rsidR="00592230" w:rsidRPr="002279E2" w:rsidRDefault="00592230" w:rsidP="00592230">
      <w:pPr>
        <w:pStyle w:val="Testonormale"/>
        <w:rPr>
          <w:rFonts w:ascii="Times New Roman" w:hAnsi="Times New Roman" w:cs="Times New Roman"/>
          <w:sz w:val="22"/>
          <w:szCs w:val="24"/>
        </w:rPr>
      </w:pPr>
      <w:r w:rsidRPr="002279E2">
        <w:rPr>
          <w:rFonts w:ascii="Times New Roman" w:hAnsi="Times New Roman" w:cs="Times New Roman"/>
          <w:sz w:val="22"/>
          <w:szCs w:val="24"/>
        </w:rPr>
        <w:t xml:space="preserve">Il comma 4 è stato sostituito, consentendo di costituire anche più di una società veicolo di appoggio per l’attività di acquisizione, gestione e valorizzazione dei beni, realizzata nell'interesse esclusivo dell'operazione di cartolarizzazione. Inoltre, si è inteso applicare ai trasferimenti a favore delle società veicolo d’appoggio le modalità di cessione di cui all’art. 58 del testo unico bancario. Infine, si chiarisce che il regime di segregazione si estende non solo alle somme rinvenienti dalla gestione dei beni e diritti da parte delle società veicolo d’appoggio, bensì anche ai beni e diritti stessi. Tale previsione consente altresì di rimuovere eventuali dubbi sull'applicabilità anche alla società veicolo d’appoggio dell'impostazione contabile, e con essa del regime di neutralità fiscale, applicabile alla società di cartolarizzazione in vigenza dell'operazione a cui la società stessa è funzionale. </w:t>
      </w:r>
    </w:p>
    <w:p w:rsidR="00592230" w:rsidRPr="002279E2" w:rsidRDefault="00592230" w:rsidP="00826FD7">
      <w:pPr>
        <w:pStyle w:val="Testonormale"/>
        <w:numPr>
          <w:ilvl w:val="0"/>
          <w:numId w:val="22"/>
        </w:numPr>
        <w:ind w:hanging="720"/>
        <w:rPr>
          <w:rFonts w:ascii="Times New Roman" w:hAnsi="Times New Roman" w:cs="Times New Roman"/>
          <w:sz w:val="22"/>
          <w:szCs w:val="24"/>
        </w:rPr>
      </w:pPr>
      <w:r w:rsidRPr="002279E2">
        <w:rPr>
          <w:rFonts w:ascii="Times New Roman" w:hAnsi="Times New Roman" w:cs="Times New Roman"/>
          <w:sz w:val="22"/>
          <w:szCs w:val="24"/>
        </w:rPr>
        <w:t>Introduzione dei commi 4-bis, 4-ter, 4-quater e 4–quinquies</w:t>
      </w:r>
    </w:p>
    <w:p w:rsidR="00592230" w:rsidRPr="002279E2" w:rsidRDefault="00592230" w:rsidP="00592230">
      <w:pPr>
        <w:pStyle w:val="Testonormale"/>
        <w:rPr>
          <w:rFonts w:ascii="Times New Roman" w:hAnsi="Times New Roman" w:cs="Times New Roman"/>
          <w:sz w:val="22"/>
          <w:szCs w:val="24"/>
        </w:rPr>
      </w:pPr>
      <w:r w:rsidRPr="002279E2">
        <w:rPr>
          <w:rFonts w:ascii="Times New Roman" w:hAnsi="Times New Roman" w:cs="Times New Roman"/>
          <w:sz w:val="22"/>
          <w:szCs w:val="24"/>
        </w:rPr>
        <w:t>Le previsioni dei commi da 4-bis a 4-quinquies hanno ad oggetto il trattamento fiscale delle operazioni poste in essere dalle società veicolo d’appoggio, in modo da garantire la neutralità fiscale di tali operazioni anche ai fini delle imposte indirette. Viene previsto, infatti, che per gli atti e le operazioni inerenti il trasferimento a qualsiasi titolo di beni e diritti in favore della società veicolo d’appoggio, in relazione all’operazione di cartolarizzazione, le imposte di registro, ipotecaria e catastale sono dovute in misura fissa. Inoltre, è disposto che per gli atti e i provvedimenti recanti il successivo trasferimento, a favore di soggetti che svolgono attività d’impresa o di organismi di investimento collettivo del risparmio, della proprietà o di diritti reali, sui beni immobili acquistati dalle società veicolo d’appoggio in relazione all’operazione di cartolarizzazione, le imposte di registro, ipotecaria e catastale sono dovute in misura fissa, a condizione che l’acquirente dichiari, nel relativo atto, che intende trasferirli entro cinque anni dalla data di acquisto. La medesima misura è prevista anche nei casi di acquisto da parte di soggetti che non svolgono attività d’impresa, nel caso ricorrano le condizioni previste per godere delle agevolazioni “acquisto prima casa”.</w:t>
      </w:r>
    </w:p>
    <w:p w:rsidR="00592230" w:rsidRPr="002279E2" w:rsidRDefault="00592230" w:rsidP="00592230">
      <w:pPr>
        <w:pStyle w:val="Testonormale"/>
        <w:rPr>
          <w:rFonts w:ascii="Times New Roman" w:hAnsi="Times New Roman" w:cs="Times New Roman"/>
          <w:sz w:val="22"/>
          <w:szCs w:val="24"/>
        </w:rPr>
      </w:pPr>
      <w:r w:rsidRPr="002279E2">
        <w:rPr>
          <w:rFonts w:ascii="Times New Roman" w:hAnsi="Times New Roman" w:cs="Times New Roman"/>
          <w:sz w:val="22"/>
          <w:szCs w:val="24"/>
        </w:rPr>
        <w:t xml:space="preserve">Inoltre, viene chiarito che anche alla società veicolo d’appoggio l’imposizione in misura fissa in occasione della cessione di immobili rivenienti da contratti di locazione finanziaria deve ritenersi applicabile in tutti i casi in cui il contratto sia, o sia stato originariamente, risolto o altrimenti cessato per inadempimento dell'utilizzatore o a seguito di assoggettamento dello stesso a procedura concorsuale. </w:t>
      </w:r>
    </w:p>
    <w:p w:rsidR="00592230" w:rsidRPr="002279E2" w:rsidRDefault="00592230" w:rsidP="00826FD7">
      <w:pPr>
        <w:pStyle w:val="Testonormale"/>
        <w:numPr>
          <w:ilvl w:val="0"/>
          <w:numId w:val="22"/>
        </w:numPr>
        <w:ind w:hanging="720"/>
        <w:rPr>
          <w:rFonts w:ascii="Times New Roman" w:hAnsi="Times New Roman" w:cs="Times New Roman"/>
          <w:sz w:val="22"/>
          <w:szCs w:val="24"/>
        </w:rPr>
      </w:pPr>
      <w:r w:rsidRPr="002279E2">
        <w:rPr>
          <w:rFonts w:ascii="Times New Roman" w:hAnsi="Times New Roman" w:cs="Times New Roman"/>
          <w:sz w:val="22"/>
          <w:szCs w:val="24"/>
        </w:rPr>
        <w:t>Modifiche al comma 5</w:t>
      </w:r>
    </w:p>
    <w:p w:rsidR="00592230" w:rsidRPr="002279E2" w:rsidRDefault="00592230" w:rsidP="00592230">
      <w:pPr>
        <w:pStyle w:val="Testonormale"/>
        <w:rPr>
          <w:rFonts w:ascii="Times New Roman" w:hAnsi="Times New Roman" w:cs="Times New Roman"/>
          <w:sz w:val="22"/>
          <w:szCs w:val="24"/>
        </w:rPr>
      </w:pPr>
      <w:r w:rsidRPr="002279E2">
        <w:rPr>
          <w:rFonts w:ascii="Times New Roman" w:hAnsi="Times New Roman" w:cs="Times New Roman"/>
          <w:sz w:val="22"/>
          <w:szCs w:val="24"/>
        </w:rPr>
        <w:t xml:space="preserve">Le modifiche al comma 5 sono di mero allineamento con le modifiche di cui al comma 4. </w:t>
      </w:r>
    </w:p>
    <w:p w:rsidR="00592230" w:rsidRPr="002279E2" w:rsidRDefault="00592230" w:rsidP="00592230">
      <w:pPr>
        <w:pStyle w:val="Testonormale"/>
        <w:rPr>
          <w:rFonts w:ascii="Times New Roman" w:hAnsi="Times New Roman" w:cs="Times New Roman"/>
          <w:sz w:val="22"/>
          <w:szCs w:val="24"/>
        </w:rPr>
      </w:pPr>
      <w:r w:rsidRPr="002279E2">
        <w:rPr>
          <w:rFonts w:ascii="Times New Roman" w:hAnsi="Times New Roman" w:cs="Times New Roman"/>
          <w:sz w:val="22"/>
          <w:szCs w:val="24"/>
        </w:rPr>
        <w:t>Il comma 5 già chiariva la circostanza che le attività svolte dalla società veicolo d’appoggio in conformità non comportano l’obbligo di iscrizione all’albo di cui all’articolo 106, comma 1, del testo unico bancario. Ciò in quanto esse non sono realmente dei soggetti autonomi che abbisognano delle normali procedure di iscrizione ed autorizzazione, bensì strutture societarie create appositamente per una operazione e come tali consolidate nel bilancio di una banca o di un intermediario finanziario. La disposizione vigente menziona solo il consolidamento nel bilancio di una banca: si è quindi colmata la lacuna normativa includendo anche il consolidamento nel bilancio di un intermediario finanziario.</w:t>
      </w:r>
    </w:p>
    <w:p w:rsidR="00592230" w:rsidRPr="002279E2" w:rsidRDefault="00592230" w:rsidP="00592230">
      <w:pPr>
        <w:pStyle w:val="Testonormale"/>
        <w:rPr>
          <w:rFonts w:ascii="Times New Roman" w:hAnsi="Times New Roman" w:cs="Times New Roman"/>
          <w:i/>
          <w:sz w:val="22"/>
          <w:szCs w:val="24"/>
        </w:rPr>
      </w:pPr>
      <w:r w:rsidRPr="002279E2">
        <w:rPr>
          <w:rFonts w:ascii="Times New Roman" w:hAnsi="Times New Roman" w:cs="Times New Roman"/>
          <w:i/>
          <w:sz w:val="22"/>
          <w:szCs w:val="24"/>
        </w:rPr>
        <w:t>Introduzione dell’articolo 7.2</w:t>
      </w:r>
    </w:p>
    <w:p w:rsidR="00592230" w:rsidRPr="002279E2" w:rsidRDefault="00592230" w:rsidP="00592230">
      <w:pPr>
        <w:rPr>
          <w:rFonts w:cs="Times New Roman"/>
          <w:szCs w:val="24"/>
        </w:rPr>
      </w:pPr>
      <w:r w:rsidRPr="002279E2">
        <w:rPr>
          <w:rFonts w:cs="Times New Roman"/>
          <w:szCs w:val="24"/>
        </w:rPr>
        <w:t>L’articolato introduce l’art. 7.2 alla legge 130/1999. Esso è rubricato “Cartolarizzazioni immobiliari e di beni mobili registrati”. Consiste in una nuova modalità di cartolarizzazione che ha come bene sottostante non crediti, bensì beni immobili, beni mobili registrati e diritti reali o personali aventi ad oggetto i medesimi beni. L’articolo enuclea le caratteristiche di tali società in linea con quanto previsto per le società di cartolarizzazione e di appoggio.</w:t>
      </w:r>
    </w:p>
    <w:p w:rsidR="00592230" w:rsidRPr="002279E2" w:rsidRDefault="00592230" w:rsidP="00592230">
      <w:pPr>
        <w:jc w:val="center"/>
        <w:rPr>
          <w:b/>
          <w:lang w:eastAsia="it-IT"/>
        </w:rPr>
      </w:pPr>
    </w:p>
    <w:p w:rsidR="00592230" w:rsidRPr="002279E2" w:rsidRDefault="00592230" w:rsidP="00592230">
      <w:pPr>
        <w:jc w:val="center"/>
        <w:rPr>
          <w:b/>
          <w:lang w:eastAsia="it-IT"/>
        </w:rPr>
      </w:pPr>
      <w:r w:rsidRPr="002279E2">
        <w:rPr>
          <w:b/>
          <w:lang w:eastAsia="it-IT"/>
        </w:rPr>
        <w:t>Relazione tecnica (MISURE FISCALI)</w:t>
      </w:r>
    </w:p>
    <w:p w:rsidR="00592230" w:rsidRPr="002279E2" w:rsidRDefault="00592230" w:rsidP="00592230">
      <w:pPr>
        <w:rPr>
          <w:lang w:eastAsia="it-IT"/>
        </w:rPr>
      </w:pPr>
      <w:r w:rsidRPr="002279E2">
        <w:rPr>
          <w:lang w:eastAsia="it-IT"/>
        </w:rPr>
        <w:t>La disposizione modifica la legge n. 130 del 1999. In particolare al comma 1, lettera b, punto iv) vengono introdotti, dopo il comma 4, i capoversi 4-bis, 4-quater e 4-quinquies nei quali viene previsto che per gli atti e le operazioni inerenti il trasferimento a qualsiasi titolo di beni e diritti in favore della società veicolo d’appoggio in relazione all’operazione di cartolarizzazione, le imposte di registro, ipotecaria e catastale sono dovute in misura fissa. Inoltre, è disposto che per gli atti e i provvedimenti recanti il successivo trasferimento, a favore di soggetti che svolgono attività d’impresa della proprietà o di diritti reali, sui beni immobili acquistati dalle società veicolo d’appoggio in relazione all’operazione di cartolarizzazione, le imposte di registro, ipotecaria e catastale sono dovute in misura fissa, a condizione che l’acquirente dichiari che intende trasferirli entro cinque anni dalla data di acquisto nel relativo atto. La medesima misura è prevista anche nei casi di acquisto da parte di soggetti che non svolgono attività d’impresa, nel caso ricorrano le condizioni previste per fruire delle agevolazioni per l’acquisto dell’abitazione principale.</w:t>
      </w:r>
    </w:p>
    <w:p w:rsidR="00592230" w:rsidRPr="002279E2" w:rsidRDefault="00592230" w:rsidP="00592230">
      <w:pPr>
        <w:rPr>
          <w:lang w:eastAsia="it-IT"/>
        </w:rPr>
      </w:pPr>
      <w:r w:rsidRPr="002279E2">
        <w:rPr>
          <w:lang w:eastAsia="it-IT"/>
        </w:rPr>
        <w:t>Ai fini di stimare gli effetti della disposizione che agevola i trasferimenti di beni a favore delle società veicolo di appoggio, si è assunto come dato di base lo stock di NPL (crediti deteriorati), pari nel 2016 a circa 201 miliardi di euro (fonte: Banca d’Italia). Circa il 48,4% si riferisce a crediti ipotecari, per un valore complessivo di circa 97,2 miliardi di euro. Sulla base anche di informazioni acquisite da operatori del settore, è stato assunto che circa il 50% degli immobili sottostanti il credito possa essere immesso sul mercato, stimando così un importo pari a 48,6 miliardi di euro.</w:t>
      </w:r>
    </w:p>
    <w:p w:rsidR="00592230" w:rsidRPr="002279E2" w:rsidRDefault="00592230" w:rsidP="00592230">
      <w:pPr>
        <w:rPr>
          <w:lang w:eastAsia="it-IT"/>
        </w:rPr>
      </w:pPr>
      <w:r w:rsidRPr="002279E2">
        <w:rPr>
          <w:lang w:eastAsia="it-IT"/>
        </w:rPr>
        <w:t xml:space="preserve">In considerazione della circostanza che la misura agevolativa si riflette sulle imposte di registro, ipotecaria e catastale è stata isolata la sola componente residenziale: dai dati Cerved risulta una percentuale del 20% degli immobili residenziali a garanzia di NPL ipotecari. Inoltre, dai dati di Banca d’Italia risulta un valore degli immobili sottostanti alla garanzia degli NPL pari al 45% del valore nominale degli stessi crediti. Pertanto, la stima del valore degli immobili residenziali a garanzia di NPL risulta di circa 4,4 miliardi di euro (48,6*20%*45%). </w:t>
      </w:r>
    </w:p>
    <w:p w:rsidR="00592230" w:rsidRPr="002279E2" w:rsidRDefault="00592230" w:rsidP="00592230">
      <w:pPr>
        <w:rPr>
          <w:lang w:eastAsia="it-IT"/>
        </w:rPr>
      </w:pPr>
      <w:r w:rsidRPr="002279E2">
        <w:rPr>
          <w:lang w:eastAsia="it-IT"/>
        </w:rPr>
        <w:t>L’agevolazione attiene esclusivamente ai trasferimenti a favore di società veicolo che, sulla base di informazioni acquisite da operatori di mercato, risultano pari al 30%. Applicando a questi trasferimenti l’aliquota dell’imposta di registro (9%), si stima un importo complessivo di circa 118 milioni di euro, cui sono stati sottratti circa 6 milioni di imposta relativi a operazioni che, sulla base delle informazioni acquisite dagli operatori di mercato, sono già avvenute. Considerando un tempo medio di recupero dei crediti di 5 anni, la perdita di gettito risulta di circa 22,4 milioni di euro annui dal 2019 al 2023.</w:t>
      </w:r>
    </w:p>
    <w:p w:rsidR="00592230" w:rsidRPr="002279E2" w:rsidRDefault="00592230" w:rsidP="00592230">
      <w:pPr>
        <w:rPr>
          <w:lang w:eastAsia="it-IT"/>
        </w:rPr>
      </w:pPr>
      <w:r w:rsidRPr="002279E2">
        <w:rPr>
          <w:lang w:eastAsia="it-IT"/>
        </w:rPr>
        <w:t xml:space="preserve">Tale perdita viene aumentata di circa 1/4 per tener conto della misura contenuta negli altri capoversi e, in particolare, di quella che prevede un’analoga agevolazione anche per i successivi trasferimenti a favore di imprese e che dichiarino l’intenzione di trasferire gli immobili entro cinque anni dalla data di acquisto. La metodologia di stima adottata è prudenziale anche al fine di tener conto delle variazioni di comportamento degli agenti che possono essere indotte dalla misura, e consistenti in una maggiore propensione ad acquistare immobili da società veicolo con la tassazione agevolata (si registra infatti attualmente un effetto </w:t>
      </w:r>
      <w:r w:rsidRPr="002279E2">
        <w:rPr>
          <w:i/>
          <w:lang w:eastAsia="it-IT"/>
        </w:rPr>
        <w:t>lock in</w:t>
      </w:r>
      <w:r w:rsidRPr="002279E2">
        <w:rPr>
          <w:lang w:eastAsia="it-IT"/>
        </w:rPr>
        <w:t xml:space="preserve"> degli immobili acquistati e una scarsa propensione alla cessione; le cessioni rappresentano solo il 6/7 per cento). </w:t>
      </w:r>
    </w:p>
    <w:p w:rsidR="00592230" w:rsidRPr="002279E2" w:rsidRDefault="00592230" w:rsidP="00592230">
      <w:pPr>
        <w:rPr>
          <w:lang w:eastAsia="it-IT"/>
        </w:rPr>
      </w:pPr>
      <w:r w:rsidRPr="002279E2">
        <w:rPr>
          <w:lang w:eastAsia="it-IT"/>
        </w:rPr>
        <w:t xml:space="preserve">Per quanto riguarda i beni mobili registrati, dal rapporto Assilea 2016 le “sofferenze” che si riferiscono a contratti di </w:t>
      </w:r>
      <w:r w:rsidRPr="002279E2">
        <w:rPr>
          <w:i/>
          <w:lang w:eastAsia="it-IT"/>
        </w:rPr>
        <w:t>leasing</w:t>
      </w:r>
      <w:r w:rsidRPr="002279E2">
        <w:rPr>
          <w:lang w:eastAsia="it-IT"/>
        </w:rPr>
        <w:t xml:space="preserve"> risultano 16,6 miliardi di euro, di cui circa 4 miliardi riferibili a beni strumentali e altri beni mobili registrati (auto e barche). Considerando che la quota di mercato del </w:t>
      </w:r>
      <w:r w:rsidRPr="002279E2">
        <w:rPr>
          <w:i/>
          <w:lang w:eastAsia="it-IT"/>
        </w:rPr>
        <w:t>leasing</w:t>
      </w:r>
      <w:r w:rsidRPr="002279E2">
        <w:rPr>
          <w:lang w:eastAsia="it-IT"/>
        </w:rPr>
        <w:t xml:space="preserve"> risulta del 30%, si stima un ammontare delle “sofferenze” riferite a beni mobili di circa 13,2 miliardi di euro. Assumendo che circa il 50% dei beni mobili sottostanti il credito possa essere immesso sul mercato, si stima un importo pari a 6,6 miliardi di euro.</w:t>
      </w:r>
    </w:p>
    <w:p w:rsidR="00592230" w:rsidRPr="002279E2" w:rsidRDefault="00592230" w:rsidP="00592230">
      <w:pPr>
        <w:rPr>
          <w:lang w:eastAsia="it-IT"/>
        </w:rPr>
      </w:pPr>
      <w:r w:rsidRPr="002279E2">
        <w:rPr>
          <w:lang w:eastAsia="it-IT"/>
        </w:rPr>
        <w:t>Sulla base di un valore medio di recupero sul costo dei beni di circa il 20% (Fonte Assilea), di una percentuale di trasferimenti a favore delle società veicolo pari al 33% e applicando alla vendita dei beni mobili un’aliquota dell’imposta di registro del 3%, si stima un’imposta pari a circa 13 milioni di euro (6,6*0,2*0,33*0,03).</w:t>
      </w:r>
    </w:p>
    <w:p w:rsidR="00592230" w:rsidRPr="002279E2" w:rsidRDefault="00592230" w:rsidP="00592230">
      <w:pPr>
        <w:rPr>
          <w:lang w:eastAsia="it-IT"/>
        </w:rPr>
      </w:pPr>
      <w:r w:rsidRPr="002279E2">
        <w:rPr>
          <w:lang w:eastAsia="it-IT"/>
        </w:rPr>
        <w:t>Ipotizzando un tempo medio di recupero dei crediti di 5 anni, la perdita di gettito risulta quindi di 2,6 milioni di euro annui dal 2019 al 2023.</w:t>
      </w:r>
    </w:p>
    <w:p w:rsidR="00592230" w:rsidRPr="002279E2" w:rsidRDefault="00592230" w:rsidP="00592230">
      <w:pPr>
        <w:rPr>
          <w:lang w:eastAsia="it-IT"/>
        </w:rPr>
      </w:pPr>
      <w:r w:rsidRPr="002279E2">
        <w:rPr>
          <w:lang w:eastAsia="it-IT"/>
        </w:rPr>
        <w:t xml:space="preserve">Ai fini della valutazione degli oneri a regime, è stato utilizzato l’ammontare dei crediti classificati come </w:t>
      </w:r>
      <w:r w:rsidRPr="002279E2">
        <w:rPr>
          <w:i/>
          <w:lang w:eastAsia="it-IT"/>
        </w:rPr>
        <w:t>“unlikely to pay”,</w:t>
      </w:r>
      <w:r w:rsidRPr="002279E2">
        <w:rPr>
          <w:lang w:eastAsia="it-IT"/>
        </w:rPr>
        <w:t xml:space="preserve"> ossia dei crediti a fronte dei quali i debitori manifestano una difficoltà temporanea a effettuare i pagamenti. Con riferimento a questi ultimi, pari a 120 miliardi di euro, circa il 9% annuo si trasformano in NPL. Adottando le medesime ipotesi utilizzate per la stima sullo stock di NPL si stima una perdita di gettito di circa 7 milioni di euro (120*0,484*0,50*0,20*0,45*0,30*0,09) che viene ripartita in 5 anni e incrementata di 1/4 per tener conto dei capoversi 4-quater e 4-quinquies. Si stimano, pertanto, oneri a regime pari a:</w:t>
      </w:r>
    </w:p>
    <w:p w:rsidR="00592230" w:rsidRPr="002279E2" w:rsidRDefault="00592230" w:rsidP="00592230">
      <w:pPr>
        <w:rPr>
          <w:lang w:eastAsia="it-IT"/>
        </w:rPr>
      </w:pPr>
    </w:p>
    <w:tbl>
      <w:tblPr>
        <w:tblW w:w="0" w:type="auto"/>
        <w:tblCellMar>
          <w:left w:w="0" w:type="dxa"/>
          <w:right w:w="0" w:type="dxa"/>
        </w:tblCellMar>
        <w:tblLook w:val="04A0" w:firstRow="1" w:lastRow="0" w:firstColumn="1" w:lastColumn="0" w:noHBand="0" w:noVBand="1"/>
      </w:tblPr>
      <w:tblGrid>
        <w:gridCol w:w="1955"/>
        <w:gridCol w:w="1955"/>
        <w:gridCol w:w="1956"/>
        <w:gridCol w:w="1956"/>
        <w:gridCol w:w="1956"/>
      </w:tblGrid>
      <w:tr w:rsidR="00592230" w:rsidRPr="002279E2" w:rsidTr="00592230">
        <w:trPr>
          <w:trHeight w:val="539"/>
        </w:trPr>
        <w:tc>
          <w:tcPr>
            <w:tcW w:w="19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2230" w:rsidRPr="002279E2" w:rsidRDefault="00592230" w:rsidP="00592230">
            <w:pPr>
              <w:jc w:val="center"/>
              <w:rPr>
                <w:rFonts w:cs="Times New Roman"/>
              </w:rPr>
            </w:pPr>
            <w:r w:rsidRPr="002279E2">
              <w:rPr>
                <w:rFonts w:cs="Times New Roman"/>
                <w:b/>
                <w:bCs/>
              </w:rPr>
              <w:t>2024</w:t>
            </w:r>
          </w:p>
        </w:tc>
        <w:tc>
          <w:tcPr>
            <w:tcW w:w="19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2230" w:rsidRPr="002279E2" w:rsidRDefault="00592230" w:rsidP="00592230">
            <w:pPr>
              <w:jc w:val="center"/>
              <w:rPr>
                <w:rFonts w:cs="Times New Roman"/>
              </w:rPr>
            </w:pPr>
            <w:r w:rsidRPr="002279E2">
              <w:rPr>
                <w:rFonts w:cs="Times New Roman"/>
                <w:b/>
                <w:bCs/>
              </w:rPr>
              <w:t>2025</w:t>
            </w:r>
          </w:p>
        </w:tc>
        <w:tc>
          <w:tcPr>
            <w:tcW w:w="19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2230" w:rsidRPr="002279E2" w:rsidRDefault="00592230" w:rsidP="00592230">
            <w:pPr>
              <w:jc w:val="center"/>
              <w:rPr>
                <w:rFonts w:cs="Times New Roman"/>
              </w:rPr>
            </w:pPr>
            <w:r w:rsidRPr="002279E2">
              <w:rPr>
                <w:rFonts w:cs="Times New Roman"/>
                <w:b/>
                <w:bCs/>
              </w:rPr>
              <w:t>2026</w:t>
            </w:r>
          </w:p>
        </w:tc>
        <w:tc>
          <w:tcPr>
            <w:tcW w:w="19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2230" w:rsidRPr="002279E2" w:rsidRDefault="00592230" w:rsidP="00592230">
            <w:pPr>
              <w:jc w:val="center"/>
              <w:rPr>
                <w:rFonts w:cs="Times New Roman"/>
              </w:rPr>
            </w:pPr>
            <w:r w:rsidRPr="002279E2">
              <w:rPr>
                <w:rFonts w:cs="Times New Roman"/>
                <w:b/>
                <w:bCs/>
              </w:rPr>
              <w:t>2027</w:t>
            </w:r>
          </w:p>
        </w:tc>
        <w:tc>
          <w:tcPr>
            <w:tcW w:w="19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2230" w:rsidRPr="002279E2" w:rsidRDefault="00592230" w:rsidP="00592230">
            <w:pPr>
              <w:jc w:val="center"/>
              <w:rPr>
                <w:rFonts w:cs="Times New Roman"/>
              </w:rPr>
            </w:pPr>
            <w:r w:rsidRPr="002279E2">
              <w:rPr>
                <w:rFonts w:cs="Times New Roman"/>
                <w:b/>
                <w:bCs/>
              </w:rPr>
              <w:t>dal 2028</w:t>
            </w:r>
          </w:p>
        </w:tc>
      </w:tr>
      <w:tr w:rsidR="00592230" w:rsidRPr="002279E2" w:rsidTr="00592230">
        <w:tc>
          <w:tcPr>
            <w:tcW w:w="19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592230" w:rsidRPr="002279E2" w:rsidRDefault="00592230" w:rsidP="00592230">
            <w:pPr>
              <w:jc w:val="center"/>
              <w:rPr>
                <w:rFonts w:cs="Times New Roman"/>
              </w:rPr>
            </w:pPr>
            <w:r w:rsidRPr="002279E2">
              <w:rPr>
                <w:rFonts w:cs="Times New Roman"/>
                <w:b/>
                <w:bCs/>
              </w:rPr>
              <w:t>-1,7</w:t>
            </w:r>
          </w:p>
        </w:tc>
        <w:tc>
          <w:tcPr>
            <w:tcW w:w="19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92230" w:rsidRPr="002279E2" w:rsidRDefault="00592230" w:rsidP="00592230">
            <w:pPr>
              <w:jc w:val="center"/>
              <w:rPr>
                <w:rFonts w:cs="Times New Roman"/>
              </w:rPr>
            </w:pPr>
            <w:r w:rsidRPr="002279E2">
              <w:rPr>
                <w:rFonts w:cs="Times New Roman"/>
                <w:b/>
                <w:bCs/>
              </w:rPr>
              <w:t>-3,5</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92230" w:rsidRPr="002279E2" w:rsidRDefault="00592230" w:rsidP="00592230">
            <w:pPr>
              <w:jc w:val="center"/>
              <w:rPr>
                <w:rFonts w:cs="Times New Roman"/>
              </w:rPr>
            </w:pPr>
            <w:r w:rsidRPr="002279E2">
              <w:rPr>
                <w:rFonts w:cs="Times New Roman"/>
                <w:b/>
                <w:bCs/>
              </w:rPr>
              <w:t>-5,3</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92230" w:rsidRPr="002279E2" w:rsidRDefault="00592230" w:rsidP="00592230">
            <w:pPr>
              <w:jc w:val="center"/>
              <w:rPr>
                <w:rFonts w:cs="Times New Roman"/>
              </w:rPr>
            </w:pPr>
            <w:r w:rsidRPr="002279E2">
              <w:rPr>
                <w:rFonts w:cs="Times New Roman"/>
                <w:b/>
                <w:bCs/>
              </w:rPr>
              <w:t>-7,0</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92230" w:rsidRPr="002279E2" w:rsidRDefault="00592230" w:rsidP="00592230">
            <w:pPr>
              <w:jc w:val="center"/>
              <w:rPr>
                <w:rFonts w:cs="Times New Roman"/>
              </w:rPr>
            </w:pPr>
            <w:r w:rsidRPr="002279E2">
              <w:rPr>
                <w:rFonts w:cs="Times New Roman"/>
                <w:b/>
                <w:bCs/>
              </w:rPr>
              <w:t>-8,7</w:t>
            </w:r>
          </w:p>
        </w:tc>
      </w:tr>
    </w:tbl>
    <w:p w:rsidR="00592230" w:rsidRPr="002279E2" w:rsidRDefault="00592230" w:rsidP="00592230">
      <w:pPr>
        <w:rPr>
          <w:rFonts w:ascii="Calibri" w:hAnsi="Calibri"/>
        </w:rPr>
      </w:pPr>
      <w:r w:rsidRPr="002279E2">
        <w:rPr>
          <w:rFonts w:ascii="Calibri" w:hAnsi="Calibri"/>
          <w:i/>
          <w:iCs/>
        </w:rPr>
        <w:t>in milioni di euro</w:t>
      </w:r>
    </w:p>
    <w:p w:rsidR="00592230" w:rsidRPr="002279E2" w:rsidRDefault="00592230" w:rsidP="00592230">
      <w:pPr>
        <w:rPr>
          <w:rFonts w:ascii="Calibri" w:hAnsi="Calibri"/>
          <w:lang w:eastAsia="it-IT"/>
        </w:rPr>
      </w:pPr>
    </w:p>
    <w:p w:rsidR="00592230" w:rsidRPr="002279E2" w:rsidRDefault="00592230" w:rsidP="00592230">
      <w:pPr>
        <w:rPr>
          <w:lang w:eastAsia="it-IT"/>
        </w:rPr>
      </w:pPr>
      <w:r w:rsidRPr="002279E2">
        <w:rPr>
          <w:lang w:eastAsia="it-IT"/>
        </w:rPr>
        <w:t>Nel complesso le misure di cui ai capoversi 4-bis, 4-quater e 4-quinquies comportano una perdita di gettito pari a:</w:t>
      </w:r>
    </w:p>
    <w:tbl>
      <w:tblPr>
        <w:tblW w:w="5000" w:type="pct"/>
        <w:tblCellMar>
          <w:left w:w="0" w:type="dxa"/>
          <w:right w:w="0" w:type="dxa"/>
        </w:tblCellMar>
        <w:tblLook w:val="04A0" w:firstRow="1" w:lastRow="0" w:firstColumn="1" w:lastColumn="0" w:noHBand="0" w:noVBand="1"/>
      </w:tblPr>
      <w:tblGrid>
        <w:gridCol w:w="3096"/>
        <w:gridCol w:w="683"/>
        <w:gridCol w:w="683"/>
        <w:gridCol w:w="683"/>
        <w:gridCol w:w="682"/>
        <w:gridCol w:w="682"/>
        <w:gridCol w:w="682"/>
        <w:gridCol w:w="682"/>
        <w:gridCol w:w="682"/>
        <w:gridCol w:w="682"/>
        <w:gridCol w:w="682"/>
      </w:tblGrid>
      <w:tr w:rsidR="00592230" w:rsidRPr="002279E2" w:rsidTr="00592230">
        <w:trPr>
          <w:trHeight w:val="315"/>
        </w:trPr>
        <w:tc>
          <w:tcPr>
            <w:tcW w:w="156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92230" w:rsidRPr="002279E2" w:rsidRDefault="00592230" w:rsidP="00592230">
            <w:pPr>
              <w:rPr>
                <w:rFonts w:cs="Times New Roman"/>
              </w:rPr>
            </w:pPr>
            <w:r w:rsidRPr="002279E2">
              <w:rPr>
                <w:rFonts w:cs="Times New Roman"/>
              </w:rPr>
              <w:t> </w:t>
            </w:r>
          </w:p>
        </w:tc>
        <w:tc>
          <w:tcPr>
            <w:tcW w:w="34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b/>
                <w:bCs/>
              </w:rPr>
              <w:t>2019</w:t>
            </w:r>
          </w:p>
        </w:tc>
        <w:tc>
          <w:tcPr>
            <w:tcW w:w="34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b/>
                <w:bCs/>
              </w:rPr>
              <w:t>2020</w:t>
            </w:r>
          </w:p>
        </w:tc>
        <w:tc>
          <w:tcPr>
            <w:tcW w:w="34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b/>
                <w:bCs/>
              </w:rPr>
              <w:t>2021</w:t>
            </w:r>
          </w:p>
        </w:tc>
        <w:tc>
          <w:tcPr>
            <w:tcW w:w="34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b/>
                <w:bCs/>
              </w:rPr>
              <w:t>2022</w:t>
            </w:r>
          </w:p>
        </w:tc>
        <w:tc>
          <w:tcPr>
            <w:tcW w:w="34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b/>
                <w:bCs/>
              </w:rPr>
              <w:t>2023</w:t>
            </w:r>
          </w:p>
        </w:tc>
        <w:tc>
          <w:tcPr>
            <w:tcW w:w="34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b/>
                <w:bCs/>
              </w:rPr>
              <w:t>2024</w:t>
            </w:r>
          </w:p>
        </w:tc>
        <w:tc>
          <w:tcPr>
            <w:tcW w:w="34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b/>
                <w:bCs/>
              </w:rPr>
              <w:t>2025</w:t>
            </w:r>
          </w:p>
        </w:tc>
        <w:tc>
          <w:tcPr>
            <w:tcW w:w="34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b/>
                <w:bCs/>
              </w:rPr>
              <w:t>2026</w:t>
            </w:r>
          </w:p>
        </w:tc>
        <w:tc>
          <w:tcPr>
            <w:tcW w:w="34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b/>
                <w:bCs/>
              </w:rPr>
              <w:t>2027</w:t>
            </w:r>
          </w:p>
        </w:tc>
        <w:tc>
          <w:tcPr>
            <w:tcW w:w="34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b/>
                <w:bCs/>
              </w:rPr>
              <w:t>dal 2028</w:t>
            </w:r>
          </w:p>
        </w:tc>
      </w:tr>
      <w:tr w:rsidR="00592230" w:rsidRPr="002279E2" w:rsidTr="00592230">
        <w:trPr>
          <w:trHeight w:val="315"/>
        </w:trPr>
        <w:tc>
          <w:tcPr>
            <w:tcW w:w="156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92230" w:rsidRPr="002279E2" w:rsidRDefault="00592230" w:rsidP="00592230">
            <w:pPr>
              <w:rPr>
                <w:rFonts w:cs="Times New Roman"/>
              </w:rPr>
            </w:pPr>
            <w:r w:rsidRPr="002279E2">
              <w:rPr>
                <w:rFonts w:cs="Times New Roman"/>
              </w:rPr>
              <w:t>Capoverso 4-bis</w:t>
            </w:r>
          </w:p>
        </w:tc>
        <w:tc>
          <w:tcPr>
            <w:tcW w:w="3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rPr>
              <w:t>-25,0</w:t>
            </w:r>
          </w:p>
        </w:tc>
        <w:tc>
          <w:tcPr>
            <w:tcW w:w="3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rPr>
              <w:t>-25,0</w:t>
            </w:r>
          </w:p>
        </w:tc>
        <w:tc>
          <w:tcPr>
            <w:tcW w:w="3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rPr>
              <w:t>-25,0</w:t>
            </w:r>
          </w:p>
        </w:tc>
        <w:tc>
          <w:tcPr>
            <w:tcW w:w="3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rPr>
              <w:t>-25,0</w:t>
            </w:r>
          </w:p>
        </w:tc>
        <w:tc>
          <w:tcPr>
            <w:tcW w:w="3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rPr>
              <w:t>-25,0</w:t>
            </w:r>
          </w:p>
        </w:tc>
        <w:tc>
          <w:tcPr>
            <w:tcW w:w="3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rPr>
              <w:t>-1,4</w:t>
            </w:r>
          </w:p>
        </w:tc>
        <w:tc>
          <w:tcPr>
            <w:tcW w:w="3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rPr>
              <w:t>-2,8</w:t>
            </w:r>
          </w:p>
        </w:tc>
        <w:tc>
          <w:tcPr>
            <w:tcW w:w="3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rPr>
              <w:t>-4,2</w:t>
            </w:r>
          </w:p>
        </w:tc>
        <w:tc>
          <w:tcPr>
            <w:tcW w:w="3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rPr>
              <w:t>-5,6</w:t>
            </w:r>
          </w:p>
        </w:tc>
        <w:tc>
          <w:tcPr>
            <w:tcW w:w="3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rPr>
              <w:t>-7,0</w:t>
            </w:r>
          </w:p>
        </w:tc>
      </w:tr>
      <w:tr w:rsidR="00592230" w:rsidRPr="002279E2" w:rsidTr="00592230">
        <w:trPr>
          <w:trHeight w:val="315"/>
        </w:trPr>
        <w:tc>
          <w:tcPr>
            <w:tcW w:w="156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92230" w:rsidRPr="002279E2" w:rsidRDefault="00592230" w:rsidP="00592230">
            <w:pPr>
              <w:rPr>
                <w:rFonts w:cs="Times New Roman"/>
              </w:rPr>
            </w:pPr>
            <w:r w:rsidRPr="002279E2">
              <w:rPr>
                <w:rFonts w:cs="Times New Roman"/>
              </w:rPr>
              <w:t>Capoversi 4-quater e 4quinquies</w:t>
            </w:r>
          </w:p>
        </w:tc>
        <w:tc>
          <w:tcPr>
            <w:tcW w:w="3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rPr>
              <w:t>-5,6</w:t>
            </w:r>
          </w:p>
        </w:tc>
        <w:tc>
          <w:tcPr>
            <w:tcW w:w="3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rPr>
              <w:t>-5,6</w:t>
            </w:r>
          </w:p>
        </w:tc>
        <w:tc>
          <w:tcPr>
            <w:tcW w:w="3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rPr>
              <w:t>-5,6</w:t>
            </w:r>
          </w:p>
        </w:tc>
        <w:tc>
          <w:tcPr>
            <w:tcW w:w="3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rPr>
              <w:t>-5,6</w:t>
            </w:r>
          </w:p>
        </w:tc>
        <w:tc>
          <w:tcPr>
            <w:tcW w:w="3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rPr>
              <w:t>-5,6</w:t>
            </w:r>
          </w:p>
        </w:tc>
        <w:tc>
          <w:tcPr>
            <w:tcW w:w="3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rPr>
              <w:t>-0,3</w:t>
            </w:r>
          </w:p>
        </w:tc>
        <w:tc>
          <w:tcPr>
            <w:tcW w:w="3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rPr>
              <w:t>-0,7</w:t>
            </w:r>
          </w:p>
        </w:tc>
        <w:tc>
          <w:tcPr>
            <w:tcW w:w="3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rPr>
              <w:t>-1,1</w:t>
            </w:r>
          </w:p>
        </w:tc>
        <w:tc>
          <w:tcPr>
            <w:tcW w:w="3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rPr>
              <w:t>-1,4</w:t>
            </w:r>
          </w:p>
        </w:tc>
        <w:tc>
          <w:tcPr>
            <w:tcW w:w="34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592230" w:rsidRPr="002279E2" w:rsidRDefault="00592230" w:rsidP="00592230">
            <w:pPr>
              <w:jc w:val="center"/>
              <w:rPr>
                <w:rFonts w:cs="Times New Roman"/>
              </w:rPr>
            </w:pPr>
            <w:r w:rsidRPr="002279E2">
              <w:rPr>
                <w:rFonts w:cs="Times New Roman"/>
              </w:rPr>
              <w:t>-1,7</w:t>
            </w:r>
          </w:p>
        </w:tc>
      </w:tr>
      <w:tr w:rsidR="00592230" w:rsidRPr="002279E2" w:rsidTr="00592230">
        <w:trPr>
          <w:trHeight w:val="315"/>
        </w:trPr>
        <w:tc>
          <w:tcPr>
            <w:tcW w:w="156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92230" w:rsidRPr="002279E2" w:rsidRDefault="00592230" w:rsidP="00592230">
            <w:pPr>
              <w:rPr>
                <w:rFonts w:cs="Times New Roman"/>
              </w:rPr>
            </w:pPr>
            <w:r w:rsidRPr="002279E2">
              <w:rPr>
                <w:rFonts w:cs="Times New Roman"/>
                <w:b/>
                <w:bCs/>
              </w:rPr>
              <w:t>T O T A L E</w:t>
            </w:r>
          </w:p>
        </w:tc>
        <w:tc>
          <w:tcPr>
            <w:tcW w:w="34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92230" w:rsidRPr="002279E2" w:rsidRDefault="00592230" w:rsidP="00592230">
            <w:pPr>
              <w:jc w:val="center"/>
              <w:rPr>
                <w:rFonts w:cs="Times New Roman"/>
              </w:rPr>
            </w:pPr>
            <w:r w:rsidRPr="002279E2">
              <w:rPr>
                <w:rFonts w:cs="Times New Roman"/>
                <w:b/>
                <w:bCs/>
              </w:rPr>
              <w:t>-30,6</w:t>
            </w:r>
          </w:p>
        </w:tc>
        <w:tc>
          <w:tcPr>
            <w:tcW w:w="34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92230" w:rsidRPr="002279E2" w:rsidRDefault="00592230" w:rsidP="00592230">
            <w:pPr>
              <w:jc w:val="center"/>
              <w:rPr>
                <w:rFonts w:cs="Times New Roman"/>
              </w:rPr>
            </w:pPr>
            <w:r w:rsidRPr="002279E2">
              <w:rPr>
                <w:rFonts w:cs="Times New Roman"/>
                <w:b/>
                <w:bCs/>
              </w:rPr>
              <w:t>-30,6</w:t>
            </w:r>
          </w:p>
        </w:tc>
        <w:tc>
          <w:tcPr>
            <w:tcW w:w="34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92230" w:rsidRPr="002279E2" w:rsidRDefault="00592230" w:rsidP="00592230">
            <w:pPr>
              <w:jc w:val="center"/>
              <w:rPr>
                <w:rFonts w:cs="Times New Roman"/>
              </w:rPr>
            </w:pPr>
            <w:r w:rsidRPr="002279E2">
              <w:rPr>
                <w:rFonts w:cs="Times New Roman"/>
                <w:b/>
                <w:bCs/>
              </w:rPr>
              <w:t>-30,6</w:t>
            </w:r>
          </w:p>
        </w:tc>
        <w:tc>
          <w:tcPr>
            <w:tcW w:w="34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92230" w:rsidRPr="002279E2" w:rsidRDefault="00592230" w:rsidP="00592230">
            <w:pPr>
              <w:jc w:val="center"/>
              <w:rPr>
                <w:rFonts w:cs="Times New Roman"/>
              </w:rPr>
            </w:pPr>
            <w:r w:rsidRPr="002279E2">
              <w:rPr>
                <w:rFonts w:cs="Times New Roman"/>
                <w:b/>
                <w:bCs/>
              </w:rPr>
              <w:t>-30,6</w:t>
            </w:r>
          </w:p>
        </w:tc>
        <w:tc>
          <w:tcPr>
            <w:tcW w:w="34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92230" w:rsidRPr="002279E2" w:rsidRDefault="00592230" w:rsidP="00592230">
            <w:pPr>
              <w:jc w:val="center"/>
              <w:rPr>
                <w:rFonts w:cs="Times New Roman"/>
              </w:rPr>
            </w:pPr>
            <w:r w:rsidRPr="002279E2">
              <w:rPr>
                <w:rFonts w:cs="Times New Roman"/>
                <w:b/>
                <w:bCs/>
              </w:rPr>
              <w:t>-30,6</w:t>
            </w:r>
          </w:p>
        </w:tc>
        <w:tc>
          <w:tcPr>
            <w:tcW w:w="34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92230" w:rsidRPr="002279E2" w:rsidRDefault="00592230" w:rsidP="00592230">
            <w:pPr>
              <w:jc w:val="center"/>
              <w:rPr>
                <w:rFonts w:cs="Times New Roman"/>
              </w:rPr>
            </w:pPr>
            <w:r w:rsidRPr="002279E2">
              <w:rPr>
                <w:rFonts w:cs="Times New Roman"/>
                <w:b/>
                <w:bCs/>
              </w:rPr>
              <w:t>-1,7</w:t>
            </w:r>
          </w:p>
        </w:tc>
        <w:tc>
          <w:tcPr>
            <w:tcW w:w="34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92230" w:rsidRPr="002279E2" w:rsidRDefault="00592230" w:rsidP="00592230">
            <w:pPr>
              <w:jc w:val="center"/>
              <w:rPr>
                <w:rFonts w:cs="Times New Roman"/>
              </w:rPr>
            </w:pPr>
            <w:r w:rsidRPr="002279E2">
              <w:rPr>
                <w:rFonts w:cs="Times New Roman"/>
                <w:b/>
                <w:bCs/>
              </w:rPr>
              <w:t>-3,5</w:t>
            </w:r>
          </w:p>
        </w:tc>
        <w:tc>
          <w:tcPr>
            <w:tcW w:w="34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92230" w:rsidRPr="002279E2" w:rsidRDefault="00592230" w:rsidP="00592230">
            <w:pPr>
              <w:jc w:val="center"/>
              <w:rPr>
                <w:rFonts w:cs="Times New Roman"/>
              </w:rPr>
            </w:pPr>
            <w:r w:rsidRPr="002279E2">
              <w:rPr>
                <w:rFonts w:cs="Times New Roman"/>
                <w:b/>
                <w:bCs/>
              </w:rPr>
              <w:t>-5,3</w:t>
            </w:r>
          </w:p>
        </w:tc>
        <w:tc>
          <w:tcPr>
            <w:tcW w:w="34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92230" w:rsidRPr="002279E2" w:rsidRDefault="00592230" w:rsidP="00592230">
            <w:pPr>
              <w:jc w:val="center"/>
              <w:rPr>
                <w:rFonts w:cs="Times New Roman"/>
              </w:rPr>
            </w:pPr>
            <w:r w:rsidRPr="002279E2">
              <w:rPr>
                <w:rFonts w:cs="Times New Roman"/>
                <w:b/>
                <w:bCs/>
              </w:rPr>
              <w:t>-7,0</w:t>
            </w:r>
          </w:p>
        </w:tc>
        <w:tc>
          <w:tcPr>
            <w:tcW w:w="344"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92230" w:rsidRPr="002279E2" w:rsidRDefault="00592230" w:rsidP="00592230">
            <w:pPr>
              <w:jc w:val="center"/>
              <w:rPr>
                <w:rFonts w:cs="Times New Roman"/>
              </w:rPr>
            </w:pPr>
            <w:r w:rsidRPr="002279E2">
              <w:rPr>
                <w:rFonts w:cs="Times New Roman"/>
                <w:b/>
                <w:bCs/>
              </w:rPr>
              <w:t>-8,7</w:t>
            </w:r>
          </w:p>
        </w:tc>
      </w:tr>
    </w:tbl>
    <w:p w:rsidR="00592230" w:rsidRPr="002279E2" w:rsidRDefault="00592230" w:rsidP="00592230">
      <w:pPr>
        <w:rPr>
          <w:rFonts w:ascii="Calibri" w:hAnsi="Calibri"/>
        </w:rPr>
      </w:pPr>
      <w:r w:rsidRPr="002279E2">
        <w:rPr>
          <w:rFonts w:ascii="Calibri" w:hAnsi="Calibri"/>
          <w:i/>
          <w:iCs/>
        </w:rPr>
        <w:t>in milioni di euro</w:t>
      </w:r>
    </w:p>
    <w:p w:rsidR="00592230" w:rsidRPr="002279E2" w:rsidRDefault="00592230" w:rsidP="00592230">
      <w:pPr>
        <w:rPr>
          <w:rFonts w:ascii="Calibri" w:hAnsi="Calibri"/>
          <w:lang w:eastAsia="it-IT"/>
        </w:rPr>
      </w:pPr>
    </w:p>
    <w:p w:rsidR="00592230" w:rsidRPr="002279E2" w:rsidRDefault="00592230" w:rsidP="00592230">
      <w:pPr>
        <w:rPr>
          <w:lang w:eastAsia="it-IT"/>
        </w:rPr>
      </w:pPr>
      <w:r w:rsidRPr="002279E2">
        <w:rPr>
          <w:lang w:eastAsia="it-IT"/>
        </w:rPr>
        <w:t>Al comma 4-ter, inoltre viene chiarito che anche alla società veicolo d’appoggio l’imposizione in misura fissa in occasione della cessione di immobili rivenienti da contratti di locazione finanziaria deve ritenersi applicabile in tutti i casi in cui il contratto sia, o sia stato originariamente, risolto o altrimenti cessato per inadempimento dell'utilizzatore o a seguito di assoggettamento dello stesso a procedura concorsuale.  Tale ultimo intervento, pertanto, non comporta effetti finanziari</w:t>
      </w:r>
    </w:p>
    <w:p w:rsidR="003C455E" w:rsidRPr="002279E2" w:rsidRDefault="003C455E" w:rsidP="00612935">
      <w:pPr>
        <w:pStyle w:val="Titolo2"/>
        <w:spacing w:after="0"/>
        <w:rPr>
          <w:sz w:val="24"/>
          <w:szCs w:val="24"/>
        </w:rPr>
      </w:pPr>
    </w:p>
    <w:p w:rsidR="003C455E" w:rsidRPr="002279E2" w:rsidRDefault="003C455E" w:rsidP="00E116DC">
      <w:pPr>
        <w:pStyle w:val="Titolo2"/>
      </w:pPr>
      <w:bookmarkStart w:id="49" w:name="_Toc6937353"/>
      <w:r w:rsidRPr="002279E2">
        <w:t xml:space="preserve">Articolo </w:t>
      </w:r>
      <w:r w:rsidR="00B5795F" w:rsidRPr="002279E2">
        <w:t>2</w:t>
      </w:r>
      <w:r w:rsidR="00F523CA">
        <w:t>4</w:t>
      </w:r>
      <w:r w:rsidR="00875E35" w:rsidRPr="002279E2">
        <w:br/>
        <w:t>(Sblocca</w:t>
      </w:r>
      <w:r w:rsidRPr="002279E2">
        <w:t xml:space="preserve"> investimenti idrici nel sud)</w:t>
      </w:r>
      <w:bookmarkEnd w:id="49"/>
    </w:p>
    <w:p w:rsidR="003C455E" w:rsidRPr="002279E2" w:rsidRDefault="003C455E" w:rsidP="00612935">
      <w:pPr>
        <w:rPr>
          <w:rFonts w:cs="Times New Roman"/>
          <w:szCs w:val="24"/>
          <w:lang w:eastAsia="it-IT"/>
        </w:rPr>
      </w:pPr>
      <w:r w:rsidRPr="002279E2">
        <w:rPr>
          <w:rFonts w:cs="Times New Roman"/>
          <w:szCs w:val="24"/>
        </w:rPr>
        <w:t>1. Al fine di completare il processo di liquidazione dell’EIPLI – Ente per lo sviluppo dell’irrigazione e la trasformazione fondiaria in Puglia, Lucania e Irpinia e accelerare la costituzione della società di cui all’articolo 21, comma 11, del decreto legge 6 dicembre 2011, n. 201, convertito, con modificazioni, dalla legge 22 dicembre 2011, n. 214, al predetto comma 11 sono apportate le seguenti modifiche:</w:t>
      </w:r>
    </w:p>
    <w:p w:rsidR="003C455E" w:rsidRPr="002279E2" w:rsidRDefault="003C455E" w:rsidP="00612935">
      <w:pPr>
        <w:rPr>
          <w:rFonts w:cs="Times New Roman"/>
          <w:szCs w:val="24"/>
          <w:lang w:eastAsia="it-IT"/>
        </w:rPr>
      </w:pPr>
      <w:r w:rsidRPr="002279E2">
        <w:rPr>
          <w:rFonts w:cs="Times New Roman"/>
          <w:szCs w:val="24"/>
        </w:rPr>
        <w:t>a) al primo periodo, le parole “e sottoposta alla vigilanza del Dipartimento delegato all’Autorità politica per le politiche di coesione e per il Mezzogiorno e del Ministero delle politiche agricole alimentari,  forestali e del turismo e del Ministero delle infrastrutture e dei trasporti” sono soppresse e sostituite dalle seguenti: “che esercita i diritti del socio di concerto, per quanto di rispettiva competenza, con il Dipartimento delegato all’Autorità politica per le politiche di coesione e per il Mezzogiorno, il Ministero per le politiche agricole, alimentari, forestali e del turismo e il Ministero delle infrastrutture e dei trasporti”;</w:t>
      </w:r>
    </w:p>
    <w:p w:rsidR="003C455E" w:rsidRPr="002279E2" w:rsidRDefault="003C455E" w:rsidP="00612935">
      <w:pPr>
        <w:rPr>
          <w:rFonts w:cs="Times New Roman"/>
          <w:szCs w:val="24"/>
          <w:lang w:eastAsia="it-IT"/>
        </w:rPr>
      </w:pPr>
      <w:r w:rsidRPr="002279E2">
        <w:rPr>
          <w:rFonts w:cs="Times New Roman"/>
          <w:szCs w:val="24"/>
        </w:rPr>
        <w:t>b) il quarto periodo è sostituito dai seguenti: “La tutela occupazionale è garantita con riferimento al personale titolare di rapporto di lavoro a tempo indeterminato con l’Ente soppresso. Le passività di natura contributiva, previdenziale e assistenziale maturate sino alla data della costituzione della società di cui al primo periodo del presente comma sono estinte dall’Ente in liquidazione, che vi provvede con risorse proprie. A decorrere dalla data del trasferimento delle funzioni di cui al primo periodo del presente comma, i diritti su beni demaniali già attribuiti all’Ente di cui al comma 10 del presente articolo in forza di provvedimenti concessori si intendono attribuiti alla società di nuova costituzione. Al fine di accelerare le procedure per la liquidazione dell’Ente e snellire il contenzioso in essere, agevolando il Commissario liquidatore nella definizione degli accordi transattivi di cui al comma 10 del presente articolo, i crediti e i debiti sorti in capo all’Ente, unitamente ai beni immobili diversi da quelli aventi natura strumentale all’esercizio delle relative funzioni sono esclusi dalle operazioni di trasferimento al patrimonio della società medesima. I rapporti giuridici attivi e passivi, anche processuali, sorti in capo all’Ente, producono effetti esclusivamente nei confronti dell’Ente posto in liquidazione. Il Commissario liquidatore presenta il bilancio finale di liquidazione dell’Ente al Ministero per le politiche agricole, alimentari, forestali e del turismo, che lo approva con decreto del Ministro delle politiche agricole, alimentari, forestali e del turismo, di concerto con il Ministro delegato all’Autorità politica per le politiche di coesione e per il Mezzogiorno.”;</w:t>
      </w:r>
    </w:p>
    <w:p w:rsidR="003C455E" w:rsidRPr="002279E2" w:rsidRDefault="003C455E" w:rsidP="00612935">
      <w:pPr>
        <w:rPr>
          <w:rFonts w:cs="Times New Roman"/>
          <w:szCs w:val="24"/>
          <w:lang w:eastAsia="it-IT"/>
        </w:rPr>
      </w:pPr>
      <w:r w:rsidRPr="002279E2">
        <w:rPr>
          <w:rFonts w:cs="Times New Roman"/>
          <w:szCs w:val="24"/>
        </w:rPr>
        <w:t>c) il penultimo periodo è soppresso.</w:t>
      </w:r>
    </w:p>
    <w:p w:rsidR="00BC3A74" w:rsidRPr="002279E2" w:rsidRDefault="00BC3A74" w:rsidP="00612935">
      <w:pPr>
        <w:rPr>
          <w:rFonts w:cs="Times New Roman"/>
          <w:szCs w:val="24"/>
        </w:rPr>
      </w:pPr>
    </w:p>
    <w:p w:rsidR="00BC3A74" w:rsidRPr="002279E2" w:rsidRDefault="00BC3A74" w:rsidP="00BC3A74">
      <w:pPr>
        <w:jc w:val="center"/>
        <w:rPr>
          <w:rFonts w:cs="Times New Roman"/>
          <w:b/>
          <w:szCs w:val="24"/>
        </w:rPr>
      </w:pPr>
      <w:r w:rsidRPr="002279E2">
        <w:rPr>
          <w:rFonts w:cs="Times New Roman"/>
          <w:b/>
          <w:szCs w:val="24"/>
        </w:rPr>
        <w:t>Relazione illustrativa</w:t>
      </w:r>
    </w:p>
    <w:p w:rsidR="00BC3A74" w:rsidRPr="002279E2" w:rsidRDefault="00BC3A74" w:rsidP="00BC3A74">
      <w:pPr>
        <w:rPr>
          <w:color w:val="auto"/>
        </w:rPr>
      </w:pPr>
      <w:r w:rsidRPr="002279E2">
        <w:t>Al fine di completare il processo di liquidazione dell’EIPLI – Ente per lo sviluppo dell’irrigazione e la trasformazione fondiaria in Puglia, Lucania e Irpinia e accelerare la costituzione della società alla quale, ai sensi del articolo 21, comma 11, del DL n. 201 del 2011, convertito, con modificazioni, dalla legge n. 214 del 2011, dovranno essere trasferite le funzioni al momento in capo allo stesso Ente, l’art. 24 modifica il citato articolo 21, comma 11 prevedendo, in particolare che:</w:t>
      </w:r>
    </w:p>
    <w:p w:rsidR="00BC3A74" w:rsidRPr="002279E2" w:rsidRDefault="00BC3A74" w:rsidP="00826FD7">
      <w:pPr>
        <w:numPr>
          <w:ilvl w:val="0"/>
          <w:numId w:val="19"/>
        </w:numPr>
        <w:ind w:left="284" w:hanging="284"/>
        <w:rPr>
          <w:rFonts w:eastAsia="Times New Roman"/>
        </w:rPr>
      </w:pPr>
      <w:r w:rsidRPr="002279E2">
        <w:rPr>
          <w:rFonts w:eastAsia="Times New Roman"/>
        </w:rPr>
        <w:t>il Ministero dell'economia e delle finanze eserciti i diritti del socio di concerto con il Dipartimento delegato all’Autorità politica per le politiche di coesione e per il Mezzogiorno, il Ministero per le politiche agricole, alimentari, forestali e del turismo e il Ministero delle infrastrutture e dei trasporti;</w:t>
      </w:r>
    </w:p>
    <w:p w:rsidR="00BC3A74" w:rsidRPr="002279E2" w:rsidRDefault="00BC3A74" w:rsidP="00826FD7">
      <w:pPr>
        <w:numPr>
          <w:ilvl w:val="0"/>
          <w:numId w:val="19"/>
        </w:numPr>
        <w:ind w:left="284" w:hanging="284"/>
        <w:rPr>
          <w:rFonts w:eastAsia="Times New Roman"/>
        </w:rPr>
      </w:pPr>
      <w:r w:rsidRPr="002279E2">
        <w:rPr>
          <w:rFonts w:eastAsia="Times New Roman"/>
        </w:rPr>
        <w:t>le passività riconducibili ai debiti di natura contributiva, previdenziale ed assistenziale maturate sino alla data della costituzione del nuovo veicolo societario siano estinte dall’Ente posto in liquidazione, che vi provvede con le risorse finanziarie nella propria disponibilità;</w:t>
      </w:r>
    </w:p>
    <w:p w:rsidR="00BC3A74" w:rsidRPr="002279E2" w:rsidRDefault="00BC3A74" w:rsidP="00826FD7">
      <w:pPr>
        <w:numPr>
          <w:ilvl w:val="0"/>
          <w:numId w:val="19"/>
        </w:numPr>
        <w:ind w:left="284" w:hanging="284"/>
        <w:rPr>
          <w:rFonts w:eastAsia="Times New Roman"/>
        </w:rPr>
      </w:pPr>
      <w:r w:rsidRPr="002279E2">
        <w:rPr>
          <w:rFonts w:eastAsia="Times New Roman"/>
        </w:rPr>
        <w:t>i diritti su beni demaniali già attribuiti all’ente, in forza di provvedimenti concessori, si intendano attribuiti alla società di nuova costituzione;</w:t>
      </w:r>
    </w:p>
    <w:p w:rsidR="00BC3A74" w:rsidRPr="002279E2" w:rsidRDefault="00BC3A74" w:rsidP="00826FD7">
      <w:pPr>
        <w:numPr>
          <w:ilvl w:val="0"/>
          <w:numId w:val="19"/>
        </w:numPr>
        <w:ind w:left="284" w:hanging="284"/>
        <w:rPr>
          <w:rFonts w:eastAsia="Times New Roman"/>
        </w:rPr>
      </w:pPr>
      <w:r w:rsidRPr="002279E2">
        <w:rPr>
          <w:rFonts w:eastAsia="Times New Roman"/>
        </w:rPr>
        <w:t>al fine di accelerare le procedure di liquidazione e snellire il contenzioso in essere, i crediti e i debiti di cui è titolare l’Ente unitamente ai beni immobili di natura non strumentale all’esercizio delle relative funzioni, non siano trasferiti al patrimonio della nuova società; inoltre, si prevede che i rapporti giuridici anche processuali di cui è titolare l’Ente producano effetti esclusivamente nei suoi confronti;</w:t>
      </w:r>
    </w:p>
    <w:p w:rsidR="00BC3A74" w:rsidRPr="002279E2" w:rsidRDefault="00BC3A74" w:rsidP="00826FD7">
      <w:pPr>
        <w:numPr>
          <w:ilvl w:val="0"/>
          <w:numId w:val="19"/>
        </w:numPr>
        <w:ind w:left="284" w:hanging="284"/>
        <w:rPr>
          <w:rFonts w:eastAsia="Times New Roman"/>
        </w:rPr>
      </w:pPr>
      <w:r w:rsidRPr="002279E2">
        <w:rPr>
          <w:rFonts w:eastAsia="Times New Roman"/>
        </w:rPr>
        <w:t>la procedura di liquidazione dell’Ente si completi con la presentazione, da parte del Commissario liquidatore, del bilancio finale di liquidazione al Ministero delle politiche agricole, alimentari e forestali, che lo approva con proprio decreto, emanato di concerto con il Ministro delegato all’Autorità politica per le politiche di coesione e il Mezzogiorno, colmando, in tal modo, la lacuna presente nel testo del comma 11 dell’articolo 21 del D.L. n. 201 del 2011 vigente, che non chiarisce quale organo debba approvare il predetto bilancio e attraverso quale forma;</w:t>
      </w:r>
    </w:p>
    <w:p w:rsidR="00BC3A74" w:rsidRPr="002279E2" w:rsidRDefault="00BC3A74" w:rsidP="00BC3A74"/>
    <w:p w:rsidR="00BC3A74" w:rsidRPr="002279E2" w:rsidRDefault="00BC3A74" w:rsidP="00BC3A74">
      <w:pPr>
        <w:jc w:val="center"/>
        <w:rPr>
          <w:b/>
          <w:bCs/>
        </w:rPr>
      </w:pPr>
      <w:r w:rsidRPr="002279E2">
        <w:rPr>
          <w:b/>
          <w:bCs/>
        </w:rPr>
        <w:t>Relazione tecnica</w:t>
      </w:r>
    </w:p>
    <w:p w:rsidR="00BC3A74" w:rsidRPr="002279E2" w:rsidRDefault="00BC3A74" w:rsidP="00BC3A74">
      <w:r w:rsidRPr="002279E2">
        <w:t>La modifica normativa proposta non comporta nuovi o maggiori oneri a carico della finanza pubblica, alla luce del fatto che le passività riconducibili ai debiti di natura contributiva, previdenziale ed assistenziale maturate sino alla data della costituzione del nuovo veicolo societario e non ancora estinte alla data della sua costituzione, che, sulla base di quanto comunicato dal Commissario liquidatore, ammontano a circa 250.000 euro, resteranno a carico dell’Ente in liquidazione, che provvederà al loro pagamento attingendo alle proprie disponibilità finanziarie.</w:t>
      </w:r>
    </w:p>
    <w:p w:rsidR="00BC3A74" w:rsidRPr="002279E2" w:rsidRDefault="00BC3A74" w:rsidP="00612935">
      <w:pPr>
        <w:rPr>
          <w:rFonts w:cs="Times New Roman"/>
          <w:szCs w:val="24"/>
          <w:lang w:eastAsia="it-IT"/>
        </w:rPr>
      </w:pPr>
    </w:p>
    <w:p w:rsidR="003C455E" w:rsidRPr="002279E2" w:rsidRDefault="003C455E" w:rsidP="001F7F8D">
      <w:pPr>
        <w:pStyle w:val="Titolo2"/>
      </w:pPr>
      <w:bookmarkStart w:id="50" w:name="_Toc6937354"/>
      <w:r w:rsidRPr="002279E2">
        <w:t xml:space="preserve">Articolo </w:t>
      </w:r>
      <w:r w:rsidR="00183A9A" w:rsidRPr="002279E2">
        <w:t>2</w:t>
      </w:r>
      <w:r w:rsidR="00F523CA">
        <w:t>5</w:t>
      </w:r>
      <w:r w:rsidRPr="002279E2">
        <w:br/>
        <w:t>(Dismissioni immobiliari enti territoriali)</w:t>
      </w:r>
      <w:bookmarkEnd w:id="50"/>
    </w:p>
    <w:p w:rsidR="003C455E" w:rsidRPr="002279E2" w:rsidRDefault="003C455E" w:rsidP="00612935">
      <w:pPr>
        <w:rPr>
          <w:rFonts w:cs="Times New Roman"/>
          <w:szCs w:val="24"/>
        </w:rPr>
      </w:pPr>
      <w:r w:rsidRPr="002279E2">
        <w:rPr>
          <w:rFonts w:cs="Times New Roman"/>
          <w:szCs w:val="24"/>
        </w:rPr>
        <w:t>1. All’articolo 1, comma 423, lettera d) della legge 30 dicembre 2018 n. 145, sono apportate le seguenti modifiche:</w:t>
      </w:r>
    </w:p>
    <w:p w:rsidR="003C455E" w:rsidRPr="002279E2" w:rsidRDefault="003C455E" w:rsidP="00612935">
      <w:pPr>
        <w:rPr>
          <w:rFonts w:cs="Times New Roman"/>
          <w:szCs w:val="24"/>
        </w:rPr>
      </w:pPr>
      <w:r w:rsidRPr="002279E2">
        <w:rPr>
          <w:rFonts w:cs="Times New Roman"/>
          <w:szCs w:val="24"/>
        </w:rPr>
        <w:t>- dopo la parola “proprietà” aggiungere “</w:t>
      </w:r>
      <w:r w:rsidRPr="00830F65">
        <w:rPr>
          <w:rFonts w:cs="Times New Roman"/>
          <w:szCs w:val="24"/>
        </w:rPr>
        <w:t>degli Enti territoriali e”</w:t>
      </w:r>
      <w:r w:rsidRPr="002279E2">
        <w:rPr>
          <w:rFonts w:cs="Times New Roman"/>
          <w:szCs w:val="24"/>
        </w:rPr>
        <w:t>;</w:t>
      </w:r>
    </w:p>
    <w:p w:rsidR="003C455E" w:rsidRPr="002279E2" w:rsidRDefault="003C455E" w:rsidP="00612935">
      <w:pPr>
        <w:rPr>
          <w:rFonts w:cs="Times New Roman"/>
          <w:szCs w:val="24"/>
        </w:rPr>
      </w:pPr>
      <w:r w:rsidRPr="002279E2">
        <w:rPr>
          <w:rFonts w:cs="Times New Roman"/>
          <w:szCs w:val="24"/>
        </w:rPr>
        <w:t>- dopo la parola “Pubbliche Amministrazioni”, le parole “</w:t>
      </w:r>
      <w:r w:rsidRPr="00830F65">
        <w:rPr>
          <w:rFonts w:cs="Times New Roman"/>
          <w:szCs w:val="24"/>
        </w:rPr>
        <w:t>diverse dagli Enti territoriali</w:t>
      </w:r>
      <w:r w:rsidRPr="002279E2">
        <w:rPr>
          <w:rFonts w:cs="Times New Roman"/>
          <w:szCs w:val="24"/>
        </w:rPr>
        <w:t xml:space="preserve"> “sono soppresse.</w:t>
      </w:r>
    </w:p>
    <w:p w:rsidR="003C455E" w:rsidRPr="002279E2" w:rsidRDefault="003C455E" w:rsidP="00612935">
      <w:pPr>
        <w:rPr>
          <w:rFonts w:cs="Times New Roman"/>
          <w:bCs/>
          <w:szCs w:val="24"/>
        </w:rPr>
      </w:pPr>
      <w:r w:rsidRPr="002279E2">
        <w:rPr>
          <w:rFonts w:cs="Times New Roman"/>
          <w:szCs w:val="24"/>
        </w:rPr>
        <w:t xml:space="preserve">2. All’art. 1, </w:t>
      </w:r>
      <w:r w:rsidRPr="002279E2">
        <w:rPr>
          <w:rFonts w:cs="Times New Roman"/>
          <w:bCs/>
          <w:szCs w:val="24"/>
        </w:rPr>
        <w:t xml:space="preserve">comma 425 </w:t>
      </w:r>
      <w:r w:rsidRPr="002279E2">
        <w:rPr>
          <w:rFonts w:cs="Times New Roman"/>
          <w:szCs w:val="24"/>
        </w:rPr>
        <w:t>della legge 30 dicembre 2018, n. 145,</w:t>
      </w:r>
      <w:r w:rsidRPr="002279E2">
        <w:rPr>
          <w:rFonts w:cs="Times New Roman"/>
          <w:bCs/>
          <w:szCs w:val="24"/>
        </w:rPr>
        <w:t xml:space="preserve"> la frase finale “e, in assenza del debito, o comunque per la parte eventualmente eccedente, al Fondo per ammortamento dei titoli di Stato” è sostituita dalla seguente: “e, limitatamente agli enti non territoriali, in assenza del debito, o comunque per la parte eventualmente eccedente, al Fondo per ammortamento dei titoli di Stato”.</w:t>
      </w:r>
    </w:p>
    <w:p w:rsidR="00183A9A" w:rsidRPr="002279E2" w:rsidRDefault="00183A9A" w:rsidP="00612935">
      <w:pPr>
        <w:rPr>
          <w:rFonts w:cs="Times New Roman"/>
          <w:sz w:val="24"/>
          <w:szCs w:val="24"/>
        </w:rPr>
      </w:pPr>
    </w:p>
    <w:p w:rsidR="00E7307E" w:rsidRPr="002279E2" w:rsidRDefault="00E7307E" w:rsidP="00E7307E">
      <w:pPr>
        <w:jc w:val="center"/>
        <w:rPr>
          <w:rFonts w:cs="Times New Roman"/>
          <w:b/>
          <w:szCs w:val="24"/>
        </w:rPr>
      </w:pPr>
      <w:r w:rsidRPr="002279E2">
        <w:rPr>
          <w:rFonts w:cs="Times New Roman"/>
          <w:b/>
          <w:szCs w:val="24"/>
        </w:rPr>
        <w:t>Relazione illustrativa</w:t>
      </w:r>
    </w:p>
    <w:p w:rsidR="00E7307E" w:rsidRPr="002279E2" w:rsidRDefault="00E7307E" w:rsidP="00E7307E">
      <w:r w:rsidRPr="002279E2">
        <w:t xml:space="preserve">La proposta ha come obiettivo di estendere agli enti territoriali il perimetro dei soggetti che possono contribuire al piano di cessione di immobili pubblici, ampliando e rafforzando in tal modo gli strumenti a disposizione del Governo per il raggiungimento degli obiettivi di finanza pubblica. In effetti, secondo i dati contenuti nell’ultimo Rapporto sui beni immobili delle Amministrazioni Pubbliche, oltre l’80 per cento di tali beni risulta di proprietà degli enti locali. </w:t>
      </w:r>
    </w:p>
    <w:p w:rsidR="00E7307E" w:rsidRPr="002279E2" w:rsidRDefault="00E7307E" w:rsidP="00E7307E">
      <w:r w:rsidRPr="002279E2">
        <w:t>In conseguenza di tale modifica è stato anche emendato il comma 425, mediante la riformulazione della frase finale. Tale modifica è finalizzata ad allineare la norma alla giurisprudenza costituzionale (inter alia, Sentenza n. 189 del 9 giugno 2015) secondo la quale gli introiti delle vendite immobiliari da parte degli enti territoriali non possono essere destinati per legge al fondo ammortamento titoli di Stato.</w:t>
      </w:r>
    </w:p>
    <w:p w:rsidR="00E7307E" w:rsidRPr="002279E2" w:rsidRDefault="00E7307E" w:rsidP="00E7307E"/>
    <w:p w:rsidR="00661A92" w:rsidRPr="002279E2" w:rsidRDefault="00661A92" w:rsidP="00661A92">
      <w:pPr>
        <w:jc w:val="center"/>
        <w:rPr>
          <w:b/>
        </w:rPr>
      </w:pPr>
      <w:r w:rsidRPr="002279E2">
        <w:rPr>
          <w:b/>
        </w:rPr>
        <w:t>Relazione tecnica</w:t>
      </w:r>
    </w:p>
    <w:p w:rsidR="00661A92" w:rsidRPr="002279E2" w:rsidRDefault="00661A92" w:rsidP="00661A92">
      <w:r w:rsidRPr="002279E2">
        <w:t xml:space="preserve">Le modifiche proposte comportano un miglioramento dei saldi di finanza pubblica, il cui ammontare dipende dal grado di adesione al piano di cessioni da parte degli enti territoriali. </w:t>
      </w:r>
    </w:p>
    <w:p w:rsidR="00661A92" w:rsidRPr="002279E2" w:rsidRDefault="00661A92" w:rsidP="00E7307E"/>
    <w:p w:rsidR="00341147" w:rsidRPr="002279E2" w:rsidRDefault="00341147" w:rsidP="001F7F8D">
      <w:pPr>
        <w:pStyle w:val="Titolo2"/>
      </w:pPr>
      <w:bookmarkStart w:id="51" w:name="_Toc4174440"/>
      <w:bookmarkStart w:id="52" w:name="_Toc6937355"/>
      <w:r w:rsidRPr="002279E2">
        <w:t>Art</w:t>
      </w:r>
      <w:r w:rsidR="004855BB" w:rsidRPr="002279E2">
        <w:t>icolo</w:t>
      </w:r>
      <w:r w:rsidR="0097558E" w:rsidRPr="002279E2">
        <w:t xml:space="preserve"> </w:t>
      </w:r>
      <w:r w:rsidR="000C0986" w:rsidRPr="002279E2">
        <w:t>2</w:t>
      </w:r>
      <w:r w:rsidR="00B973FD">
        <w:t>6</w:t>
      </w:r>
      <w:r w:rsidR="006227CC" w:rsidRPr="002279E2">
        <w:br/>
      </w:r>
      <w:r w:rsidRPr="002279E2">
        <w:t>(Agevolazioni a sostegno di progetti di ricerca e sviluppo per la riconversione dei processi produttivi nell’ambito dell’economia circolare)</w:t>
      </w:r>
      <w:bookmarkEnd w:id="51"/>
      <w:bookmarkEnd w:id="52"/>
    </w:p>
    <w:p w:rsidR="00D3119B" w:rsidRPr="00386E61" w:rsidRDefault="00D3119B" w:rsidP="00D3119B">
      <w:pPr>
        <w:tabs>
          <w:tab w:val="left" w:pos="426"/>
        </w:tabs>
        <w:rPr>
          <w:rFonts w:cs="Times New Roman"/>
          <w:color w:val="auto"/>
          <w:szCs w:val="24"/>
        </w:rPr>
      </w:pPr>
      <w:r w:rsidRPr="00386E61">
        <w:rPr>
          <w:rFonts w:cs="Times New Roman"/>
          <w:szCs w:val="24"/>
        </w:rPr>
        <w:t xml:space="preserve">1. Al fine di favorire la transizione delle attività economiche verso un modello di economia circolare, finalizzata alla riconversione produttiva del tessuto industriale, con decreto del Ministero dello sviluppo economico previa intesa in Conferenza unificata ai sensi dell’articolo 3 del decreto legislativo 28 agosto 1997,  n. 281, sono stabiliti i criteri, le condizioni e le procedure per la concessione ed erogazione delle agevolazioni finanziarie, nei limiti delle intensità massime di aiuto stabilite dagli articoli 4 e 25 del regolamento (UE) 651/2014, a </w:t>
      </w:r>
      <w:r w:rsidRPr="00386E61">
        <w:rPr>
          <w:rFonts w:cs="Times New Roman"/>
          <w:color w:val="auto"/>
          <w:szCs w:val="24"/>
        </w:rPr>
        <w:t>sostegno di progetti di ricerca e sviluppo finalizzati ad un uso più efficiente e sostenibile delle risorse.</w:t>
      </w:r>
    </w:p>
    <w:p w:rsidR="00D3119B" w:rsidRPr="00386E61" w:rsidRDefault="00D3119B" w:rsidP="00D3119B">
      <w:pPr>
        <w:tabs>
          <w:tab w:val="left" w:pos="426"/>
        </w:tabs>
        <w:rPr>
          <w:rFonts w:cs="Times New Roman"/>
          <w:color w:val="auto"/>
          <w:szCs w:val="24"/>
        </w:rPr>
      </w:pPr>
      <w:r w:rsidRPr="00386E61">
        <w:rPr>
          <w:rFonts w:cs="Times New Roman"/>
          <w:color w:val="auto"/>
          <w:szCs w:val="24"/>
        </w:rPr>
        <w:t>2. Possono beneficiare delle agevolazioni di cui al comma 1, le imprese ed i Centri di ricerca che, alla data di presentazione della domanda di agevolazione, soddisfano le seguenti caratteristiche:</w:t>
      </w:r>
    </w:p>
    <w:p w:rsidR="00D3119B" w:rsidRPr="00386E61" w:rsidRDefault="00D3119B" w:rsidP="00826FD7">
      <w:pPr>
        <w:pStyle w:val="Paragrafoelenco"/>
        <w:numPr>
          <w:ilvl w:val="0"/>
          <w:numId w:val="7"/>
        </w:numPr>
        <w:tabs>
          <w:tab w:val="left" w:pos="851"/>
        </w:tabs>
        <w:spacing w:after="0" w:line="240" w:lineRule="auto"/>
        <w:ind w:left="0" w:firstLine="567"/>
        <w:contextualSpacing w:val="0"/>
        <w:rPr>
          <w:rFonts w:ascii="Times New Roman" w:hAnsi="Times New Roman"/>
          <w:color w:val="auto"/>
          <w:szCs w:val="24"/>
          <w:lang w:val="it-IT"/>
        </w:rPr>
      </w:pPr>
      <w:r w:rsidRPr="00386E61">
        <w:rPr>
          <w:rFonts w:ascii="Times New Roman" w:hAnsi="Times New Roman"/>
          <w:color w:val="auto"/>
          <w:szCs w:val="24"/>
          <w:lang w:val="it-IT"/>
        </w:rPr>
        <w:t>essere iscritte nel Registro delle imprese e risultare in regola con gli adempimenti di cui all’articolo 9</w:t>
      </w:r>
      <w:r w:rsidRPr="00830F65">
        <w:rPr>
          <w:rFonts w:ascii="Times New Roman" w:hAnsi="Times New Roman"/>
          <w:color w:val="auto"/>
          <w:lang w:val="it-IT"/>
        </w:rPr>
        <w:t xml:space="preserve"> terzo comma, primo periodo,</w:t>
      </w:r>
      <w:r w:rsidRPr="00386E61">
        <w:rPr>
          <w:rFonts w:ascii="Times New Roman" w:hAnsi="Times New Roman"/>
          <w:color w:val="auto"/>
          <w:szCs w:val="24"/>
          <w:lang w:val="it-IT"/>
        </w:rPr>
        <w:t xml:space="preserve"> del decreto del Presidente della Repubblica 7 dicembre 1995, n. 581;</w:t>
      </w:r>
    </w:p>
    <w:p w:rsidR="00D3119B" w:rsidRPr="00386E61" w:rsidRDefault="00D3119B" w:rsidP="00826FD7">
      <w:pPr>
        <w:pStyle w:val="Paragrafoelenco"/>
        <w:numPr>
          <w:ilvl w:val="0"/>
          <w:numId w:val="7"/>
        </w:numPr>
        <w:tabs>
          <w:tab w:val="left" w:pos="851"/>
        </w:tabs>
        <w:spacing w:after="0" w:line="240" w:lineRule="auto"/>
        <w:ind w:left="0" w:firstLine="567"/>
        <w:contextualSpacing w:val="0"/>
        <w:rPr>
          <w:rFonts w:ascii="Times New Roman" w:hAnsi="Times New Roman"/>
          <w:color w:val="auto"/>
          <w:szCs w:val="24"/>
          <w:lang w:val="it-IT"/>
        </w:rPr>
      </w:pPr>
      <w:r w:rsidRPr="00386E61">
        <w:rPr>
          <w:rFonts w:ascii="Times New Roman" w:hAnsi="Times New Roman"/>
          <w:color w:val="auto"/>
          <w:szCs w:val="24"/>
          <w:lang w:val="it-IT"/>
        </w:rPr>
        <w:t>operare in via prevalente nel settore manifatturiero ovvero in quello dei servizi diretti alle imprese manifatturiere;</w:t>
      </w:r>
    </w:p>
    <w:p w:rsidR="00D3119B" w:rsidRPr="00386E61" w:rsidRDefault="00D3119B" w:rsidP="00826FD7">
      <w:pPr>
        <w:pStyle w:val="Paragrafoelenco"/>
        <w:numPr>
          <w:ilvl w:val="0"/>
          <w:numId w:val="7"/>
        </w:numPr>
        <w:tabs>
          <w:tab w:val="left" w:pos="851"/>
        </w:tabs>
        <w:spacing w:after="0" w:line="240" w:lineRule="auto"/>
        <w:ind w:left="0" w:firstLine="567"/>
        <w:contextualSpacing w:val="0"/>
        <w:rPr>
          <w:rFonts w:ascii="Times New Roman" w:hAnsi="Times New Roman"/>
          <w:szCs w:val="24"/>
          <w:lang w:val="it-IT"/>
        </w:rPr>
      </w:pPr>
      <w:r w:rsidRPr="00386E61">
        <w:rPr>
          <w:rFonts w:ascii="Times New Roman" w:hAnsi="Times New Roman"/>
          <w:szCs w:val="24"/>
          <w:lang w:val="it-IT"/>
        </w:rPr>
        <w:t>aver approvato e depositato almeno due bilanci;</w:t>
      </w:r>
    </w:p>
    <w:p w:rsidR="00D3119B" w:rsidRPr="00386E61" w:rsidRDefault="00D3119B" w:rsidP="00826FD7">
      <w:pPr>
        <w:pStyle w:val="Paragrafoelenco"/>
        <w:numPr>
          <w:ilvl w:val="0"/>
          <w:numId w:val="7"/>
        </w:numPr>
        <w:tabs>
          <w:tab w:val="left" w:pos="851"/>
        </w:tabs>
        <w:spacing w:after="0" w:line="240" w:lineRule="auto"/>
        <w:ind w:left="0" w:firstLine="567"/>
        <w:contextualSpacing w:val="0"/>
        <w:rPr>
          <w:rFonts w:ascii="Times New Roman" w:hAnsi="Times New Roman"/>
          <w:szCs w:val="24"/>
          <w:lang w:val="it-IT"/>
        </w:rPr>
      </w:pPr>
      <w:r w:rsidRPr="00386E61">
        <w:rPr>
          <w:rFonts w:ascii="Times New Roman" w:hAnsi="Times New Roman"/>
          <w:szCs w:val="24"/>
          <w:lang w:val="it-IT"/>
        </w:rPr>
        <w:t>non essere sottoposto a procedura concorsuale e non trovarsi in stato di fallimento, di liquidazione anche volontaria, di amministrazione controllata, di concordato preventivo o in qualsiasi altra situazione equivalente secondo la normativa vigente.</w:t>
      </w:r>
    </w:p>
    <w:p w:rsidR="00D3119B" w:rsidRPr="00386E61" w:rsidRDefault="00D3119B" w:rsidP="00D3119B">
      <w:pPr>
        <w:tabs>
          <w:tab w:val="left" w:pos="426"/>
        </w:tabs>
        <w:rPr>
          <w:rFonts w:cs="Times New Roman"/>
          <w:szCs w:val="24"/>
        </w:rPr>
      </w:pPr>
      <w:r w:rsidRPr="00386E61">
        <w:rPr>
          <w:rFonts w:cs="Times New Roman"/>
          <w:szCs w:val="24"/>
        </w:rPr>
        <w:t>3. I soggetti di cui al comma 2 possono presentare progetti anche congiuntamente tra loro o con Organismi di ricerca, fino ad un massimo di tre soggetti co-proponenti. In tali casi i progetti congiunti devono essere realizzati mediante il ricorso allo strumento del contratto di rete o ad altre forme contrattuali di collaborazione, quali, a titolo esemplificativo, il consorzio e l’accordo di partenariato.</w:t>
      </w:r>
    </w:p>
    <w:p w:rsidR="00D3119B" w:rsidRPr="00386E61" w:rsidRDefault="00D3119B" w:rsidP="00D3119B">
      <w:pPr>
        <w:tabs>
          <w:tab w:val="left" w:pos="426"/>
        </w:tabs>
        <w:rPr>
          <w:rFonts w:cs="Times New Roman"/>
          <w:szCs w:val="24"/>
        </w:rPr>
      </w:pPr>
      <w:r w:rsidRPr="00386E61">
        <w:rPr>
          <w:rFonts w:cs="Times New Roman"/>
          <w:szCs w:val="24"/>
        </w:rPr>
        <w:t>4. Ai fini dell’ammissibilità alle agevolazioni di cui al comma 1, i progetti di ricerca e sviluppo devono:</w:t>
      </w:r>
    </w:p>
    <w:p w:rsidR="00D3119B" w:rsidRPr="00386E61" w:rsidRDefault="00D3119B" w:rsidP="00826FD7">
      <w:pPr>
        <w:pStyle w:val="Paragrafoelenco"/>
        <w:numPr>
          <w:ilvl w:val="1"/>
          <w:numId w:val="8"/>
        </w:numPr>
        <w:spacing w:after="0" w:line="240" w:lineRule="auto"/>
        <w:ind w:left="851" w:hanging="284"/>
        <w:contextualSpacing w:val="0"/>
        <w:rPr>
          <w:rFonts w:ascii="Times New Roman" w:hAnsi="Times New Roman"/>
          <w:szCs w:val="24"/>
          <w:lang w:val="it-IT"/>
        </w:rPr>
      </w:pPr>
      <w:r w:rsidRPr="00386E61">
        <w:rPr>
          <w:rFonts w:ascii="Times New Roman" w:hAnsi="Times New Roman"/>
          <w:szCs w:val="24"/>
          <w:lang w:val="it-IT"/>
        </w:rPr>
        <w:t>essere realizzati nell’ambito di una o più unità locali ubicate nel territorio nazionale;</w:t>
      </w:r>
    </w:p>
    <w:p w:rsidR="00D3119B" w:rsidRPr="00386E61" w:rsidRDefault="00D3119B" w:rsidP="00826FD7">
      <w:pPr>
        <w:pStyle w:val="Paragrafoelenco"/>
        <w:numPr>
          <w:ilvl w:val="1"/>
          <w:numId w:val="8"/>
        </w:numPr>
        <w:tabs>
          <w:tab w:val="left" w:pos="851"/>
        </w:tabs>
        <w:spacing w:after="0" w:line="240" w:lineRule="auto"/>
        <w:ind w:left="0" w:firstLine="567"/>
        <w:contextualSpacing w:val="0"/>
        <w:rPr>
          <w:rFonts w:ascii="Times New Roman" w:hAnsi="Times New Roman"/>
          <w:szCs w:val="24"/>
          <w:lang w:val="it-IT"/>
        </w:rPr>
      </w:pPr>
      <w:r w:rsidRPr="00386E61">
        <w:rPr>
          <w:rFonts w:ascii="Times New Roman" w:hAnsi="Times New Roman"/>
          <w:szCs w:val="24"/>
          <w:lang w:val="it-IT"/>
        </w:rPr>
        <w:t>prevedere, anche in deroga agli importi minimi previsti per l’utilizzo delle risorse di cui al comma 6, lettera b), spese e costi ammissibili non inferiori a euro 500.000,00 (cinquecentomila/00) e non superiori a euro 2.000.000,00 (duemilioni/00);</w:t>
      </w:r>
    </w:p>
    <w:p w:rsidR="00D3119B" w:rsidRPr="00386E61" w:rsidRDefault="00D3119B" w:rsidP="00826FD7">
      <w:pPr>
        <w:pStyle w:val="Paragrafoelenco"/>
        <w:numPr>
          <w:ilvl w:val="1"/>
          <w:numId w:val="8"/>
        </w:numPr>
        <w:spacing w:after="0" w:line="240" w:lineRule="auto"/>
        <w:ind w:left="851" w:hanging="284"/>
        <w:contextualSpacing w:val="0"/>
        <w:rPr>
          <w:rFonts w:ascii="Times New Roman" w:hAnsi="Times New Roman"/>
          <w:szCs w:val="24"/>
          <w:lang w:val="it-IT"/>
        </w:rPr>
      </w:pPr>
      <w:r w:rsidRPr="00386E61">
        <w:rPr>
          <w:rFonts w:ascii="Times New Roman" w:hAnsi="Times New Roman"/>
          <w:szCs w:val="24"/>
          <w:lang w:val="it-IT"/>
        </w:rPr>
        <w:t>avere una durata non inferiore a 12 mesi e non superiore a 36 mesi;</w:t>
      </w:r>
    </w:p>
    <w:p w:rsidR="00D3119B" w:rsidRPr="00386E61" w:rsidRDefault="00D3119B" w:rsidP="00826FD7">
      <w:pPr>
        <w:pStyle w:val="Paragrafoelenco"/>
        <w:numPr>
          <w:ilvl w:val="1"/>
          <w:numId w:val="8"/>
        </w:numPr>
        <w:tabs>
          <w:tab w:val="left" w:pos="851"/>
        </w:tabs>
        <w:spacing w:after="0" w:line="240" w:lineRule="auto"/>
        <w:ind w:left="0" w:firstLine="567"/>
        <w:contextualSpacing w:val="0"/>
        <w:rPr>
          <w:rFonts w:ascii="Times New Roman" w:hAnsi="Times New Roman"/>
          <w:szCs w:val="24"/>
          <w:lang w:val="it-IT"/>
        </w:rPr>
      </w:pPr>
      <w:r w:rsidRPr="00386E61">
        <w:rPr>
          <w:rFonts w:ascii="Times New Roman" w:hAnsi="Times New Roman"/>
          <w:szCs w:val="24"/>
          <w:lang w:val="it-IT"/>
        </w:rPr>
        <w:t>prevedere attività di ricerca e sviluppo, strettamente connesse tra di loro in relazione all’obiettivo previsto dal progetto, finalizzate alla riconversione produttiva delle attività economiche attraverso la realizzazione di nuovi prodotti, processi o servizi o al notevole miglioramento di prodotti, processi o servizi esistenti, tramite lo sviluppo delle tecnologie abilitanti fondamentali (</w:t>
      </w:r>
      <w:r w:rsidRPr="00386E61">
        <w:rPr>
          <w:rFonts w:ascii="Times New Roman" w:hAnsi="Times New Roman"/>
          <w:i/>
          <w:szCs w:val="24"/>
          <w:lang w:val="it-IT"/>
        </w:rPr>
        <w:t>KETs</w:t>
      </w:r>
      <w:r w:rsidRPr="00386E61">
        <w:rPr>
          <w:rFonts w:ascii="Times New Roman" w:hAnsi="Times New Roman"/>
          <w:szCs w:val="24"/>
          <w:lang w:val="it-IT"/>
        </w:rPr>
        <w:t>), relative a:</w:t>
      </w:r>
    </w:p>
    <w:p w:rsidR="00D3119B" w:rsidRPr="00386E61" w:rsidRDefault="00D3119B" w:rsidP="00826FD7">
      <w:pPr>
        <w:pStyle w:val="Paragrafoelenco"/>
        <w:numPr>
          <w:ilvl w:val="2"/>
          <w:numId w:val="31"/>
        </w:numPr>
        <w:spacing w:after="0" w:line="240" w:lineRule="auto"/>
        <w:ind w:left="851" w:hanging="142"/>
        <w:contextualSpacing w:val="0"/>
        <w:rPr>
          <w:rFonts w:ascii="Times New Roman" w:hAnsi="Times New Roman"/>
          <w:szCs w:val="24"/>
          <w:lang w:val="it-IT"/>
        </w:rPr>
      </w:pPr>
      <w:r w:rsidRPr="00386E61">
        <w:rPr>
          <w:rFonts w:ascii="Times New Roman" w:hAnsi="Times New Roman"/>
          <w:szCs w:val="24"/>
          <w:lang w:val="it-IT"/>
        </w:rPr>
        <w:t>innovazioni di prodotto e di processo in tema di utilizzo efficiente delle risorse e di trattamento e trasformazione dei rifiuti, compreso il riuso dei materiali in un’ottica di economia circolare o a “rifiuto zero” e di compatibilità ambientale (innovazioni eco-compatibili);</w:t>
      </w:r>
    </w:p>
    <w:p w:rsidR="00D3119B" w:rsidRPr="00386E61" w:rsidRDefault="00D3119B" w:rsidP="00826FD7">
      <w:pPr>
        <w:pStyle w:val="Paragrafoelenco"/>
        <w:numPr>
          <w:ilvl w:val="2"/>
          <w:numId w:val="31"/>
        </w:numPr>
        <w:tabs>
          <w:tab w:val="left" w:pos="851"/>
        </w:tabs>
        <w:spacing w:after="0" w:line="240" w:lineRule="auto"/>
        <w:ind w:left="851" w:hanging="142"/>
        <w:contextualSpacing w:val="0"/>
        <w:rPr>
          <w:rFonts w:ascii="Times New Roman" w:hAnsi="Times New Roman"/>
          <w:szCs w:val="24"/>
          <w:lang w:val="it-IT"/>
        </w:rPr>
      </w:pPr>
      <w:r w:rsidRPr="00386E61">
        <w:rPr>
          <w:rFonts w:ascii="Times New Roman" w:hAnsi="Times New Roman"/>
          <w:szCs w:val="24"/>
          <w:lang w:val="it-IT"/>
        </w:rPr>
        <w:t>progettazione e sperimentazione prototipale di modelli tecnologici integrati finalizzati al rafforzamento dei percorsi di simbiosi industriale, attraverso, ad esempio, la definizione di un approccio sistemico alla riduzione, riciclo e riuso degli scarti alimentari, allo sviluppo di sistemi di ciclo integrato delle acque e al riciclo delle materie prime;</w:t>
      </w:r>
    </w:p>
    <w:p w:rsidR="00D3119B" w:rsidRPr="00386E61" w:rsidRDefault="00D3119B" w:rsidP="00826FD7">
      <w:pPr>
        <w:pStyle w:val="Paragrafoelenco"/>
        <w:numPr>
          <w:ilvl w:val="2"/>
          <w:numId w:val="31"/>
        </w:numPr>
        <w:spacing w:after="0" w:line="240" w:lineRule="auto"/>
        <w:ind w:left="851" w:hanging="142"/>
        <w:contextualSpacing w:val="0"/>
        <w:rPr>
          <w:rFonts w:ascii="Times New Roman" w:hAnsi="Times New Roman"/>
          <w:szCs w:val="24"/>
          <w:lang w:val="it-IT"/>
        </w:rPr>
      </w:pPr>
      <w:r w:rsidRPr="00386E61">
        <w:rPr>
          <w:rFonts w:ascii="Times New Roman" w:hAnsi="Times New Roman"/>
          <w:szCs w:val="24"/>
          <w:lang w:val="it-IT"/>
        </w:rPr>
        <w:t>sistemi, strumenti e metodologie per lo sviluppo delle tecnologie per la fornitura, l’uso razionale e la sanificazione dell’acqua;</w:t>
      </w:r>
    </w:p>
    <w:p w:rsidR="00D3119B" w:rsidRPr="00386E61" w:rsidRDefault="00D3119B" w:rsidP="00826FD7">
      <w:pPr>
        <w:pStyle w:val="Paragrafoelenco"/>
        <w:numPr>
          <w:ilvl w:val="2"/>
          <w:numId w:val="31"/>
        </w:numPr>
        <w:spacing w:after="0" w:line="240" w:lineRule="auto"/>
        <w:ind w:left="851" w:hanging="142"/>
        <w:contextualSpacing w:val="0"/>
        <w:rPr>
          <w:rFonts w:ascii="Times New Roman" w:hAnsi="Times New Roman"/>
          <w:szCs w:val="24"/>
          <w:lang w:val="it-IT"/>
        </w:rPr>
      </w:pPr>
      <w:r w:rsidRPr="00386E61">
        <w:rPr>
          <w:rFonts w:ascii="Times New Roman" w:hAnsi="Times New Roman"/>
          <w:szCs w:val="24"/>
          <w:lang w:val="it-IT"/>
        </w:rPr>
        <w:t>strumenti tecnologici innovativi in grado di aumentare il tempo di vita dei prodotti e di efficientare il ciclo produttivo;</w:t>
      </w:r>
    </w:p>
    <w:p w:rsidR="00D3119B" w:rsidRPr="00386E61" w:rsidRDefault="00D3119B" w:rsidP="00826FD7">
      <w:pPr>
        <w:pStyle w:val="Paragrafoelenco"/>
        <w:numPr>
          <w:ilvl w:val="2"/>
          <w:numId w:val="31"/>
        </w:numPr>
        <w:spacing w:after="0" w:line="240" w:lineRule="auto"/>
        <w:ind w:left="851" w:hanging="142"/>
        <w:contextualSpacing w:val="0"/>
        <w:rPr>
          <w:rFonts w:ascii="Times New Roman" w:hAnsi="Times New Roman"/>
          <w:szCs w:val="24"/>
          <w:lang w:val="it-IT"/>
        </w:rPr>
      </w:pPr>
      <w:r w:rsidRPr="00386E61">
        <w:rPr>
          <w:rFonts w:ascii="Times New Roman" w:hAnsi="Times New Roman"/>
          <w:szCs w:val="24"/>
          <w:lang w:val="it-IT"/>
        </w:rPr>
        <w:t>sperimentazione di nuovi modelli di packaging intelligente (</w:t>
      </w:r>
      <w:r w:rsidRPr="00386E61">
        <w:rPr>
          <w:rFonts w:ascii="Times New Roman" w:hAnsi="Times New Roman"/>
          <w:i/>
          <w:szCs w:val="24"/>
          <w:lang w:val="it-IT"/>
        </w:rPr>
        <w:t>smart packaging</w:t>
      </w:r>
      <w:r w:rsidRPr="00386E61">
        <w:rPr>
          <w:rFonts w:ascii="Times New Roman" w:hAnsi="Times New Roman"/>
          <w:szCs w:val="24"/>
          <w:lang w:val="it-IT"/>
        </w:rPr>
        <w:t>) che prevedano anche l’utilizzo di materiali recuperati;</w:t>
      </w:r>
    </w:p>
    <w:p w:rsidR="00D3119B" w:rsidRPr="005D6807" w:rsidRDefault="005D6807" w:rsidP="005D6807">
      <w:pPr>
        <w:rPr>
          <w:szCs w:val="24"/>
        </w:rPr>
      </w:pPr>
      <w:r>
        <w:rPr>
          <w:szCs w:val="24"/>
        </w:rPr>
        <w:t xml:space="preserve">5. </w:t>
      </w:r>
      <w:r w:rsidR="00D3119B" w:rsidRPr="005D6807">
        <w:rPr>
          <w:szCs w:val="24"/>
        </w:rPr>
        <w:t>Le agevolazioni di cui al comma 1 sono concesse secondo le seguenti modalità:</w:t>
      </w:r>
    </w:p>
    <w:p w:rsidR="005D6807" w:rsidRPr="00174B06" w:rsidRDefault="00D3119B" w:rsidP="00826FD7">
      <w:pPr>
        <w:pStyle w:val="Paragrafoelenco"/>
        <w:numPr>
          <w:ilvl w:val="0"/>
          <w:numId w:val="34"/>
        </w:numPr>
        <w:spacing w:line="240" w:lineRule="auto"/>
        <w:ind w:left="851" w:hanging="284"/>
        <w:rPr>
          <w:rFonts w:ascii="Times New Roman" w:hAnsi="Times New Roman"/>
          <w:szCs w:val="24"/>
          <w:lang w:val="it-IT"/>
        </w:rPr>
      </w:pPr>
      <w:r w:rsidRPr="00174B06">
        <w:rPr>
          <w:rFonts w:ascii="Times New Roman" w:hAnsi="Times New Roman"/>
          <w:szCs w:val="24"/>
          <w:lang w:val="it-IT"/>
        </w:rPr>
        <w:t>finanziamento agevolato per una percentuale nominale delle spese e dei costi ammissibili pari al 50 per cento;</w:t>
      </w:r>
    </w:p>
    <w:p w:rsidR="00D3119B" w:rsidRPr="00174B06" w:rsidRDefault="00D3119B" w:rsidP="00826FD7">
      <w:pPr>
        <w:pStyle w:val="Paragrafoelenco"/>
        <w:numPr>
          <w:ilvl w:val="0"/>
          <w:numId w:val="34"/>
        </w:numPr>
        <w:spacing w:line="240" w:lineRule="auto"/>
        <w:ind w:left="851" w:hanging="284"/>
        <w:rPr>
          <w:rFonts w:ascii="Times New Roman" w:hAnsi="Times New Roman"/>
          <w:szCs w:val="24"/>
          <w:lang w:val="it-IT"/>
        </w:rPr>
      </w:pPr>
      <w:r w:rsidRPr="00174B06">
        <w:rPr>
          <w:rFonts w:ascii="Times New Roman" w:hAnsi="Times New Roman"/>
          <w:szCs w:val="24"/>
          <w:lang w:val="it-IT"/>
        </w:rPr>
        <w:t>contributo diretto alla spesa fino al 20 per cento delle spese e dei costi ammissibili.</w:t>
      </w:r>
    </w:p>
    <w:p w:rsidR="00D3119B" w:rsidRPr="00174B06" w:rsidRDefault="005D6807" w:rsidP="005D6807">
      <w:pPr>
        <w:tabs>
          <w:tab w:val="left" w:pos="426"/>
        </w:tabs>
        <w:rPr>
          <w:szCs w:val="24"/>
        </w:rPr>
      </w:pPr>
      <w:r w:rsidRPr="00174B06">
        <w:rPr>
          <w:szCs w:val="24"/>
        </w:rPr>
        <w:t xml:space="preserve">6. </w:t>
      </w:r>
      <w:r w:rsidR="00D3119B" w:rsidRPr="00174B06">
        <w:rPr>
          <w:szCs w:val="24"/>
        </w:rPr>
        <w:t>Le risorse finanziarie disponibili per la concessione delle agevolazioni di cui al comma 1 ammontano complessivamente a euro 140.000.000,00 (</w:t>
      </w:r>
      <w:r w:rsidR="00D3119B" w:rsidRPr="00174B06">
        <w:rPr>
          <w:i/>
          <w:szCs w:val="24"/>
        </w:rPr>
        <w:t>centoquarantamilioni/00</w:t>
      </w:r>
      <w:r w:rsidR="00D3119B" w:rsidRPr="00174B06">
        <w:rPr>
          <w:szCs w:val="24"/>
        </w:rPr>
        <w:t xml:space="preserve">) di cui: </w:t>
      </w:r>
    </w:p>
    <w:p w:rsidR="00D3119B" w:rsidRPr="00174B06" w:rsidRDefault="00D3119B" w:rsidP="00826FD7">
      <w:pPr>
        <w:pStyle w:val="Paragrafoelenco"/>
        <w:numPr>
          <w:ilvl w:val="0"/>
          <w:numId w:val="23"/>
        </w:numPr>
        <w:spacing w:after="0" w:line="240" w:lineRule="auto"/>
        <w:ind w:left="567" w:hanging="284"/>
        <w:rPr>
          <w:rFonts w:ascii="Times New Roman" w:hAnsi="Times New Roman"/>
          <w:szCs w:val="24"/>
          <w:lang w:val="it-IT"/>
        </w:rPr>
      </w:pPr>
      <w:r w:rsidRPr="00174B06">
        <w:rPr>
          <w:rFonts w:ascii="Times New Roman" w:hAnsi="Times New Roman"/>
          <w:szCs w:val="24"/>
          <w:lang w:val="it-IT"/>
        </w:rPr>
        <w:t>40.000.000,00 (</w:t>
      </w:r>
      <w:r w:rsidRPr="00174B06">
        <w:rPr>
          <w:rFonts w:ascii="Times New Roman" w:hAnsi="Times New Roman"/>
          <w:i/>
          <w:szCs w:val="24"/>
          <w:lang w:val="it-IT"/>
        </w:rPr>
        <w:t>quarantamilioni/00</w:t>
      </w:r>
      <w:r w:rsidRPr="00174B06">
        <w:rPr>
          <w:rFonts w:ascii="Times New Roman" w:hAnsi="Times New Roman"/>
          <w:szCs w:val="24"/>
          <w:lang w:val="it-IT"/>
        </w:rPr>
        <w:t>) per la concessione delle agevolazioni nella forma del contributo diretto alla spesa, a valere sulle disponibilità per il 2020 del Fondo per lo Sviluppo e la Coesione di cui all’articolo 4 del decreto legislativo 31 maggio 2011, n. 88, ferma restando l’applicazione dell’articolo 1, comma 703, della legge 23 dicembre 2014, n. 190;</w:t>
      </w:r>
    </w:p>
    <w:p w:rsidR="00D3119B" w:rsidRPr="00174B06" w:rsidRDefault="00D3119B" w:rsidP="00826FD7">
      <w:pPr>
        <w:pStyle w:val="Paragrafoelenco"/>
        <w:numPr>
          <w:ilvl w:val="0"/>
          <w:numId w:val="23"/>
        </w:numPr>
        <w:spacing w:after="0" w:line="240" w:lineRule="auto"/>
        <w:ind w:left="567" w:hanging="284"/>
        <w:rPr>
          <w:rFonts w:ascii="Times New Roman" w:hAnsi="Times New Roman"/>
          <w:szCs w:val="24"/>
          <w:lang w:val="it-IT"/>
        </w:rPr>
      </w:pPr>
      <w:r w:rsidRPr="00174B06">
        <w:rPr>
          <w:rFonts w:ascii="Times New Roman" w:hAnsi="Times New Roman"/>
          <w:szCs w:val="24"/>
          <w:lang w:val="it-IT"/>
        </w:rPr>
        <w:t>100.000.00,00 (</w:t>
      </w:r>
      <w:r w:rsidRPr="00174B06">
        <w:rPr>
          <w:rFonts w:ascii="Times New Roman" w:hAnsi="Times New Roman"/>
          <w:i/>
          <w:szCs w:val="24"/>
          <w:lang w:val="it-IT"/>
        </w:rPr>
        <w:t>centomilioni/00</w:t>
      </w:r>
      <w:r w:rsidRPr="00174B06">
        <w:rPr>
          <w:rFonts w:ascii="Times New Roman" w:hAnsi="Times New Roman"/>
          <w:szCs w:val="24"/>
          <w:lang w:val="it-IT"/>
        </w:rPr>
        <w:t xml:space="preserve">) per la concessione delle agevolazioni nella forma del finanziamento agevolato a valere sulle risorse del Fondo rotativo per il sostegno alle imprese e gli investimenti in ricerca (FRI) di cui all’articolo 1, comma 354, della legge 30 dicembre 2004 n. 311, utilizzando le risorse di cui all’articolo 30 del decreto legge 22 giugno 2012, n. 83, convertito con modificazioni dalla legge 7 agosto 2012 n. 134. </w:t>
      </w:r>
    </w:p>
    <w:p w:rsidR="00D3119B" w:rsidRPr="00386E61" w:rsidRDefault="00D3119B" w:rsidP="00D3119B">
      <w:pPr>
        <w:pStyle w:val="Paragrafoelenco"/>
        <w:tabs>
          <w:tab w:val="left" w:pos="426"/>
        </w:tabs>
        <w:spacing w:after="0" w:line="240" w:lineRule="auto"/>
        <w:ind w:left="425"/>
        <w:contextualSpacing w:val="0"/>
        <w:rPr>
          <w:rFonts w:ascii="Times New Roman" w:hAnsi="Times New Roman"/>
          <w:b/>
          <w:szCs w:val="24"/>
          <w:lang w:val="it-IT"/>
        </w:rPr>
      </w:pPr>
    </w:p>
    <w:p w:rsidR="00D3119B" w:rsidRPr="00386E61" w:rsidRDefault="00D3119B" w:rsidP="00D3119B">
      <w:pPr>
        <w:jc w:val="center"/>
        <w:rPr>
          <w:rFonts w:cs="Times New Roman"/>
          <w:b/>
          <w:szCs w:val="24"/>
        </w:rPr>
      </w:pPr>
      <w:r w:rsidRPr="00386E61">
        <w:rPr>
          <w:rFonts w:cs="Times New Roman"/>
          <w:b/>
          <w:szCs w:val="24"/>
        </w:rPr>
        <w:t>Relazione illustrativa</w:t>
      </w:r>
    </w:p>
    <w:p w:rsidR="00D3119B" w:rsidRPr="00386E61" w:rsidRDefault="00D3119B" w:rsidP="00D3119B">
      <w:pPr>
        <w:rPr>
          <w:rFonts w:cs="Times New Roman"/>
          <w:szCs w:val="24"/>
        </w:rPr>
      </w:pPr>
      <w:r w:rsidRPr="00386E61">
        <w:rPr>
          <w:rFonts w:cs="Times New Roman"/>
          <w:szCs w:val="24"/>
        </w:rPr>
        <w:t>La cosiddetta “economia circolare” mira, attraverso la ricerca e l’innovazione tecnologica, a rendere i processi produttivi più efficienti in termini di tempo e di risorse impiegate e meno impattanti per l’ambiente in termini di riduzione delle emissioni di gas serra, di recupero dei materiali e di minimizzazione degli scarti. Il passaggio dall’attuale modello di economia “lineare” a quella “circolare” richiede un cambiamento delle strategie di policy e dei modelli di mercato al fine di salvaguardare la competitività dei settori industriali e il patrimonio di risorse naturali.</w:t>
      </w:r>
    </w:p>
    <w:p w:rsidR="00D3119B" w:rsidRPr="00386E61" w:rsidRDefault="00D3119B" w:rsidP="00D3119B">
      <w:pPr>
        <w:rPr>
          <w:rFonts w:cs="Times New Roman"/>
          <w:szCs w:val="24"/>
        </w:rPr>
      </w:pPr>
      <w:r w:rsidRPr="00386E61">
        <w:rPr>
          <w:rFonts w:cs="Times New Roman"/>
          <w:szCs w:val="24"/>
        </w:rPr>
        <w:t xml:space="preserve">Il sostegno alla ricerca e all’innovazione tecnologica costituisce, pertanto, un fattore decisivo per dare impulso alla predetta transizione, che concorre - tra le altre cose - anche a modernizzare il comparto industriale, apportando benefici sia all’economia che all’ambiente. </w:t>
      </w:r>
    </w:p>
    <w:p w:rsidR="00D3119B" w:rsidRPr="00386E61" w:rsidRDefault="00D3119B" w:rsidP="00D3119B">
      <w:pPr>
        <w:rPr>
          <w:rFonts w:cs="Times New Roman"/>
          <w:szCs w:val="24"/>
        </w:rPr>
      </w:pPr>
      <w:r w:rsidRPr="00386E61">
        <w:rPr>
          <w:rFonts w:cs="Times New Roman"/>
          <w:szCs w:val="24"/>
        </w:rPr>
        <w:t>La proposta normativa si pone l’obiettivo di accompagnare i processi di transizione del sistema produttivo verso un’economia circolare, fornendo sostegno alle attività economiche che desiderano ripensare e/o riconvertire il modello produttivo al fine di consolidare la propria presenza nelle catene globali del valore.</w:t>
      </w:r>
    </w:p>
    <w:p w:rsidR="00D3119B" w:rsidRPr="00386E61" w:rsidRDefault="00D3119B" w:rsidP="00D3119B">
      <w:pPr>
        <w:rPr>
          <w:rFonts w:cs="Times New Roman"/>
          <w:szCs w:val="24"/>
        </w:rPr>
      </w:pPr>
      <w:r w:rsidRPr="00386E61">
        <w:rPr>
          <w:rFonts w:cs="Times New Roman"/>
          <w:szCs w:val="24"/>
        </w:rPr>
        <w:t>Nell’ottica di garantire il più ampio accesso allo strumento agevolativo, la misura di aiuto in argomento non prevede particolari restrizioni in merito alla tipologia di soggetti proponenti che possono essere imprese di qualsiasi dimensione che esercitano attività industriali, agroindustriali, artigiane, di servizi all’industria (attività di cui all’art. 2195 del c.c., nn. 1, 3 e 5), nonché centri di ricerca. Possono essere soggetti co-proponenti di progetti congiunti (fino a tre soggetti) anche gli organismi di ricerca.</w:t>
      </w:r>
    </w:p>
    <w:p w:rsidR="00D3119B" w:rsidRPr="00386E61" w:rsidRDefault="00D3119B" w:rsidP="00D3119B">
      <w:pPr>
        <w:rPr>
          <w:rFonts w:cs="Times New Roman"/>
          <w:szCs w:val="24"/>
        </w:rPr>
      </w:pPr>
      <w:r w:rsidRPr="00386E61">
        <w:rPr>
          <w:rFonts w:cs="Times New Roman"/>
          <w:szCs w:val="24"/>
        </w:rPr>
        <w:t>Le agevolazioni sono concesse nella forma del contributo alla spesa e del finanziamento agevolato, in misura coerente con i limiti fissati dal regolamento (UE) n. 651/2014, a fronte di progetti di ricerca e sviluppo nell’ambito dell’economia circolare per la riconversione produttiva che prevedono costi ammissibili compresi tra 500 mila e 2 milioni di euro.</w:t>
      </w:r>
    </w:p>
    <w:p w:rsidR="00D3119B" w:rsidRPr="00386E61" w:rsidRDefault="00D3119B" w:rsidP="00D3119B">
      <w:pPr>
        <w:rPr>
          <w:rFonts w:cs="Times New Roman"/>
          <w:szCs w:val="24"/>
        </w:rPr>
      </w:pPr>
      <w:r w:rsidRPr="00386E61">
        <w:rPr>
          <w:rFonts w:cs="Times New Roman"/>
          <w:szCs w:val="24"/>
        </w:rPr>
        <w:t xml:space="preserve">L’intervento sarà attivato nell’ambito del Fondo per la crescita sostenibile (FCS) di cui all’articolo 23 del decreto-legge 83/2012, nel quale confluiranno le risorse del Fondo per lo sviluppo e la coesione destinate a coprire la quota di contributo diretto alla spesa. L’intervento rientra, infatti, perfettamente nella prima finalità prevista dalla citata norma istitutiva del FCS (v. art. 23, comma 2, lettera a) del decreto-legge 83/2012, che individua la finalità di “promozione di progetti di ricerca, sviluppo e innovazione di rilevanza strategica per il rilancio della competitività del sistema produttivo […]”). </w:t>
      </w:r>
    </w:p>
    <w:p w:rsidR="00D3119B" w:rsidRPr="00386E61" w:rsidRDefault="00D3119B" w:rsidP="00D3119B">
      <w:pPr>
        <w:rPr>
          <w:rFonts w:cs="Times New Roman"/>
          <w:szCs w:val="24"/>
        </w:rPr>
      </w:pPr>
      <w:r w:rsidRPr="00386E61">
        <w:rPr>
          <w:rFonts w:cs="Times New Roman"/>
          <w:szCs w:val="24"/>
        </w:rPr>
        <w:t>Tenuto conto dell’associazione delle risorse del Fondo rotativo per il sostegno alle imprese e gli investimenti in ricerca (FRI), allocato nella gestione separata di Cassa Depositi e Prestiti, la procedura seguirà schemi già sperimentati adottati in attuazione dell’articolo 30 del decreto legge 22 giugno 2012, n. 83, secondo quanto previsto dal decreto interministeriale del Ministro dell’economia e delle finanze e del Ministro dello sviluppo economico 23 febbraio 2015, recante “Modalità di utilizzo delle risorse non utilizzate del Fondo rotativo per il sostegno alle imprese e gli investimenti di ricerca e riparto delle predette risorse tra gli interventi destinatari del Fondo per la crescita sostenibile. Sulla base della predetta disciplina, tra l’altro, il Ministero, l'ABI e CDP, sentito il Ministero dell'economia e delle finanze, stipuleranno un’apposita convenzione per la regolamentazione dei rapporti derivanti dalla concessione dei finanziamenti, cui potranno aderire gli istituti di credito (“Banche finanziatrici”) che concorreranno alla copertura dei costi dei programmi di investimenti proposti dalle imprese tramite l’erogazione di finanziamenti bancari a tasso di mercato e che, in virtù dell’adesione, assumeranno gli impegni, regolati da apposito mandato conferito da CDP, relativi allo svolgimento delle attività di valutazione del merito creditizio.</w:t>
      </w:r>
    </w:p>
    <w:p w:rsidR="00D3119B" w:rsidRPr="00386E61" w:rsidRDefault="00D3119B" w:rsidP="00D3119B">
      <w:pPr>
        <w:rPr>
          <w:rFonts w:cs="Times New Roman"/>
          <w:szCs w:val="24"/>
        </w:rPr>
      </w:pPr>
      <w:r w:rsidRPr="00386E61">
        <w:rPr>
          <w:rFonts w:cs="Times New Roman"/>
          <w:szCs w:val="24"/>
        </w:rPr>
        <w:t>La Convenzione impegnerà, con la previsione di specifiche disposizioni, anche il Soggetto gestore, da individuarsi, come per tutti gli interventi in ricerca e sviluppo del Fondo per la crescita sostenibile, nel RTI aggiudicatario della gara indetta nel 2014 dal Ministero dello sviluppo economico per l’affidamento del servizio di gestione di detti interventi, avente come mandataria Banca del Mezzogiorno – Mediocredito centrale e come mandanti diversi istituti bancari e il Centro Nazionale delle Ricerche (CNR), competente, quest’ultimo, per la valutazione tecnico-scientifica dei progetti.</w:t>
      </w:r>
    </w:p>
    <w:p w:rsidR="00D3119B" w:rsidRPr="00386E61" w:rsidRDefault="00D3119B" w:rsidP="00D3119B">
      <w:pPr>
        <w:rPr>
          <w:rFonts w:cs="Times New Roman"/>
          <w:szCs w:val="24"/>
        </w:rPr>
      </w:pPr>
      <w:r w:rsidRPr="00386E61">
        <w:rPr>
          <w:rFonts w:cs="Times New Roman"/>
          <w:szCs w:val="24"/>
        </w:rPr>
        <w:t>L’intervento sarà realizzato con procedura valutativa a sportello.</w:t>
      </w:r>
    </w:p>
    <w:p w:rsidR="00D3119B" w:rsidRPr="00386E61" w:rsidRDefault="00D3119B" w:rsidP="00D3119B">
      <w:pPr>
        <w:rPr>
          <w:rFonts w:cs="Times New Roman"/>
          <w:szCs w:val="24"/>
        </w:rPr>
      </w:pPr>
      <w:r w:rsidRPr="00386E61">
        <w:rPr>
          <w:rFonts w:cs="Times New Roman"/>
          <w:szCs w:val="24"/>
        </w:rPr>
        <w:t>Quanto alla consistenza dell’agevolazione, oltre al riconoscimento di una quota di contributo fino al 20 % delle spese ammissibili, la norma prevede che il finanziamento agevolato copra una percentuale delle spese pari al 50 %. A detto finanziamento agevolato, come detto, deve essere associato a un finanziamento bancario a tasso di mercato di pari durata erogato dalla Banca finanziatrice scelta dall’impresa tra le banche aderenti alla Convenzione, I due finanziamenti (agevolato e bancario) sono poi regolati in modo unitario da un unico contratto di finanziamento nell’ambito del quale il finanziamento bancario non potrà essere inferiore al 10 % delle spese ammissibili.”</w:t>
      </w:r>
    </w:p>
    <w:p w:rsidR="00D3119B" w:rsidRPr="00386E61" w:rsidRDefault="00D3119B" w:rsidP="00D3119B">
      <w:pPr>
        <w:rPr>
          <w:rFonts w:cs="Times New Roman"/>
          <w:b/>
          <w:szCs w:val="24"/>
        </w:rPr>
      </w:pPr>
    </w:p>
    <w:p w:rsidR="00D3119B" w:rsidRPr="00386E61" w:rsidRDefault="00D3119B" w:rsidP="00D3119B">
      <w:pPr>
        <w:jc w:val="center"/>
        <w:rPr>
          <w:rFonts w:cs="Times New Roman"/>
          <w:b/>
          <w:szCs w:val="24"/>
        </w:rPr>
      </w:pPr>
      <w:r w:rsidRPr="00386E61">
        <w:rPr>
          <w:rFonts w:cs="Times New Roman"/>
          <w:b/>
          <w:szCs w:val="24"/>
        </w:rPr>
        <w:t>Relazione tecnica</w:t>
      </w:r>
    </w:p>
    <w:p w:rsidR="00D3119B" w:rsidRPr="00386E61" w:rsidRDefault="00D3119B" w:rsidP="00D3119B">
      <w:pPr>
        <w:rPr>
          <w:rFonts w:cs="Times New Roman"/>
          <w:szCs w:val="24"/>
        </w:rPr>
      </w:pPr>
      <w:r w:rsidRPr="00386E61">
        <w:rPr>
          <w:rFonts w:cs="Times New Roman"/>
          <w:szCs w:val="24"/>
        </w:rPr>
        <w:t>Le agevolazioni sono concesse nella forma del contributo alla spesa, a valere sulle  disponibilità per il 2020 del Fondo per lo Sviluppo e la Coesione, e anche del finanziamento agevolato, a valere sulle risorse del Fondo rotativo per le imprese, in misura coerente con i limiti fissati dal regolamento (UE) n. 651/2014, a fronte di progetti di ricerca e sviluppo nell’ambito dell’economia circolare per la riconversione produttiva che prevedono costi ammissibili compresi tra 500 mila e 2 milioni di euro.</w:t>
      </w:r>
    </w:p>
    <w:p w:rsidR="00216855" w:rsidRPr="002279E2" w:rsidRDefault="00216855" w:rsidP="00612935">
      <w:pPr>
        <w:pStyle w:val="Titolo2"/>
        <w:spacing w:after="0"/>
        <w:jc w:val="both"/>
      </w:pPr>
    </w:p>
    <w:p w:rsidR="000C0986" w:rsidRPr="002279E2" w:rsidRDefault="000C0986" w:rsidP="001F7F8D">
      <w:pPr>
        <w:pStyle w:val="Titolo2"/>
      </w:pPr>
      <w:bookmarkStart w:id="53" w:name="_Toc4174449"/>
      <w:bookmarkStart w:id="54" w:name="_Toc6937356"/>
      <w:r w:rsidRPr="002279E2">
        <w:t>Ar</w:t>
      </w:r>
      <w:r w:rsidR="004855BB" w:rsidRPr="002279E2">
        <w:t>ticolo</w:t>
      </w:r>
      <w:r w:rsidRPr="002279E2">
        <w:t>. 2</w:t>
      </w:r>
      <w:r w:rsidR="00B973FD">
        <w:t>7</w:t>
      </w:r>
      <w:r w:rsidRPr="002279E2">
        <w:br/>
        <w:t>(Società di investimento semplice - SIS)</w:t>
      </w:r>
      <w:bookmarkEnd w:id="53"/>
      <w:bookmarkEnd w:id="54"/>
    </w:p>
    <w:p w:rsidR="0052691F" w:rsidRPr="002279E2" w:rsidRDefault="0052691F" w:rsidP="0052691F">
      <w:pPr>
        <w:rPr>
          <w:rFonts w:cs="Times New Roman"/>
        </w:rPr>
      </w:pPr>
      <w:bookmarkStart w:id="55" w:name="_Toc3479309"/>
      <w:bookmarkStart w:id="56" w:name="_Toc4174442"/>
      <w:r w:rsidRPr="002279E2">
        <w:rPr>
          <w:rFonts w:cs="Times New Roman"/>
        </w:rPr>
        <w:t xml:space="preserve">1. All’articolo 1, comma 1, del decreto legislativo 24 febbraio 1998, n. 58, dopo la lettera i-ter) è aggiunta la seguente: </w:t>
      </w:r>
    </w:p>
    <w:p w:rsidR="0052691F" w:rsidRPr="002279E2" w:rsidRDefault="0052691F" w:rsidP="0052691F">
      <w:pPr>
        <w:ind w:left="284"/>
        <w:rPr>
          <w:rFonts w:cs="Times New Roman"/>
        </w:rPr>
      </w:pPr>
      <w:r w:rsidRPr="002279E2">
        <w:rPr>
          <w:rFonts w:cs="Times New Roman"/>
        </w:rPr>
        <w:t>“i-quater) società di investimento semplice (SiS): il FIA italiano, riservato  a investitori professionali, costituito in forma di Sicaf che gestisce direttamente il proprio patrimonio e che rispetta tutte le seguenti condizioni:</w:t>
      </w:r>
    </w:p>
    <w:p w:rsidR="0052691F" w:rsidRPr="002279E2" w:rsidRDefault="0052691F" w:rsidP="0052691F">
      <w:pPr>
        <w:ind w:left="284"/>
        <w:rPr>
          <w:rFonts w:cs="Times New Roman"/>
        </w:rPr>
      </w:pPr>
      <w:r w:rsidRPr="002279E2">
        <w:rPr>
          <w:rFonts w:cs="Times New Roman"/>
        </w:rPr>
        <w:t>a) il patrimonio netto non eccede euro 25.000.000,00;</w:t>
      </w:r>
    </w:p>
    <w:p w:rsidR="0052691F" w:rsidRPr="002279E2" w:rsidRDefault="0052691F" w:rsidP="0052691F">
      <w:pPr>
        <w:ind w:left="284"/>
        <w:rPr>
          <w:rFonts w:cs="Times New Roman"/>
        </w:rPr>
      </w:pPr>
      <w:r w:rsidRPr="002279E2">
        <w:rPr>
          <w:rFonts w:cs="Times New Roman"/>
        </w:rPr>
        <w:t>b) ha per oggetto esclusivo l’investimento diretto del patrimonio raccolto in PMI non quotate su mercati regolamentati di cui all’articolo 2 paragrafo 1, lettera f), primo alinea, del regolamento (UE) n. 2017/1129 del 14 giugno 2017 che si trovano nella fase di sperimentazione, di costituzione e di avvio dell’attività, in deroga all’art. 35-</w:t>
      </w:r>
      <w:r w:rsidRPr="002279E2">
        <w:rPr>
          <w:rFonts w:cs="Times New Roman"/>
          <w:i/>
          <w:iCs/>
        </w:rPr>
        <w:t xml:space="preserve">bis, </w:t>
      </w:r>
      <w:r w:rsidRPr="002279E2">
        <w:rPr>
          <w:rFonts w:cs="Times New Roman"/>
        </w:rPr>
        <w:t>comma 1, lettera f);</w:t>
      </w:r>
    </w:p>
    <w:p w:rsidR="0052691F" w:rsidRPr="002279E2" w:rsidRDefault="0052691F" w:rsidP="0052691F">
      <w:pPr>
        <w:ind w:left="284"/>
        <w:rPr>
          <w:rFonts w:cs="Times New Roman"/>
        </w:rPr>
      </w:pPr>
      <w:r w:rsidRPr="002279E2">
        <w:rPr>
          <w:rFonts w:cs="Times New Roman"/>
        </w:rPr>
        <w:t>c) non ricorre alla leva finanziaria;</w:t>
      </w:r>
    </w:p>
    <w:p w:rsidR="0052691F" w:rsidRPr="002279E2" w:rsidRDefault="0052691F" w:rsidP="0052691F">
      <w:pPr>
        <w:ind w:left="284"/>
        <w:rPr>
          <w:rFonts w:cs="Times New Roman"/>
        </w:rPr>
      </w:pPr>
      <w:r w:rsidRPr="002279E2">
        <w:rPr>
          <w:rFonts w:cs="Times New Roman"/>
        </w:rPr>
        <w:t>d) dispone di un capitale sociale almeno pari a quello previsto dall’art. 2327 cc, in deroga all’art. 35-</w:t>
      </w:r>
      <w:r w:rsidRPr="002279E2">
        <w:rPr>
          <w:rFonts w:cs="Times New Roman"/>
          <w:i/>
          <w:iCs/>
        </w:rPr>
        <w:t>bis</w:t>
      </w:r>
      <w:r w:rsidRPr="002279E2">
        <w:rPr>
          <w:rFonts w:cs="Times New Roman"/>
        </w:rPr>
        <w:t>, comma 1, lett. c).”.</w:t>
      </w:r>
    </w:p>
    <w:p w:rsidR="0052691F" w:rsidRPr="002279E2" w:rsidRDefault="0052691F" w:rsidP="0052691F">
      <w:pPr>
        <w:rPr>
          <w:rFonts w:cs="Times New Roman"/>
        </w:rPr>
      </w:pPr>
      <w:r w:rsidRPr="002279E2">
        <w:rPr>
          <w:rFonts w:cs="Times New Roman"/>
        </w:rPr>
        <w:t xml:space="preserve">2. All’articolo 35-undecies sono aggiunti i seguenti commi: </w:t>
      </w:r>
    </w:p>
    <w:p w:rsidR="0052691F" w:rsidRPr="002279E2" w:rsidRDefault="0052691F" w:rsidP="0052691F">
      <w:pPr>
        <w:ind w:left="284"/>
        <w:rPr>
          <w:rFonts w:cs="Times New Roman"/>
        </w:rPr>
      </w:pPr>
      <w:r w:rsidRPr="002279E2">
        <w:rPr>
          <w:rFonts w:cs="Times New Roman"/>
        </w:rPr>
        <w:t>“2. Le SiS non applicano le disposizioni attuative dell’articolo 6, commi 1, 2 e 2-</w:t>
      </w:r>
      <w:r w:rsidRPr="002279E2">
        <w:rPr>
          <w:rFonts w:cs="Times New Roman"/>
          <w:i/>
          <w:iCs/>
        </w:rPr>
        <w:t>bis</w:t>
      </w:r>
      <w:r w:rsidRPr="002279E2">
        <w:rPr>
          <w:rFonts w:cs="Times New Roman"/>
        </w:rPr>
        <w:t xml:space="preserve">). Il sistema di governo e controllo è adeguato per assicurare la sana e prudente gestione delle SiS e l’osservanza delle disposizioni loro applicabili. Le SiS stipulano un’assicurazione sulla responsabilità civile professionale adeguata ai rischi derivanti dall’attività svolta.  Le SiS applicano le disposizioni dettate dalla Consob in materia di commercializzazione di OICR. </w:t>
      </w:r>
    </w:p>
    <w:p w:rsidR="0052691F" w:rsidRPr="002279E2" w:rsidRDefault="0052691F" w:rsidP="0052691F">
      <w:pPr>
        <w:ind w:left="284"/>
        <w:rPr>
          <w:rFonts w:cs="Times New Roman"/>
        </w:rPr>
      </w:pPr>
      <w:r w:rsidRPr="002279E2">
        <w:rPr>
          <w:rFonts w:cs="Times New Roman"/>
        </w:rPr>
        <w:t>3. In deroga all’art. 35-</w:t>
      </w:r>
      <w:r w:rsidRPr="002279E2">
        <w:rPr>
          <w:rFonts w:cs="Times New Roman"/>
          <w:i/>
        </w:rPr>
        <w:t>bis</w:t>
      </w:r>
      <w:r w:rsidRPr="002279E2">
        <w:rPr>
          <w:rFonts w:cs="Times New Roman"/>
        </w:rPr>
        <w:t>, comma 1, lett. e), i titolari di partecipazioni indicati all’art. 15, comma 1, rispettano i soli requisiti di onorabilità previsti dall’art. 14. In deroga all’art. 35-</w:t>
      </w:r>
      <w:r w:rsidRPr="002279E2">
        <w:rPr>
          <w:rFonts w:cs="Times New Roman"/>
          <w:i/>
          <w:iCs/>
        </w:rPr>
        <w:t>bis</w:t>
      </w:r>
      <w:r w:rsidRPr="002279E2">
        <w:rPr>
          <w:rFonts w:cs="Times New Roman"/>
        </w:rPr>
        <w:t xml:space="preserve">, comma 5, la denominazione sociale della SiS contiene l'indicazione di società di investimento semplice per azioni a capitale fisso. </w:t>
      </w:r>
    </w:p>
    <w:p w:rsidR="0052691F" w:rsidRPr="002279E2" w:rsidRDefault="0052691F" w:rsidP="0052691F">
      <w:pPr>
        <w:ind w:left="284"/>
        <w:rPr>
          <w:rFonts w:cs="Times New Roman"/>
        </w:rPr>
      </w:pPr>
      <w:r w:rsidRPr="002279E2">
        <w:rPr>
          <w:rFonts w:cs="Times New Roman"/>
        </w:rPr>
        <w:t xml:space="preserve">4. I soggetti che controllano una SiS, i soggetti da questi direttamente o indirettamente controllati o controllanti, ovvero sottoposti a comune controllo anche in virtù di patti parasociali o vincoli contrattuali ai sensi dell’articolo 2359 del codice civile, nonché i soggetti che svolgono funzioni di amministrazione, direzione e controllo presso una o più SiS possono procedere alla costituzione di una o più SiS, nel rispetto del limite complessivo di euro 25.000.000.” </w:t>
      </w:r>
    </w:p>
    <w:p w:rsidR="00983322" w:rsidRDefault="00983322" w:rsidP="00983322">
      <w:pPr>
        <w:autoSpaceDE w:val="0"/>
        <w:autoSpaceDN w:val="0"/>
        <w:adjustRightInd w:val="0"/>
        <w:jc w:val="center"/>
        <w:rPr>
          <w:rFonts w:cs="Times New Roman"/>
          <w:b/>
          <w:bCs/>
          <w:i/>
          <w:iCs/>
        </w:rPr>
      </w:pPr>
    </w:p>
    <w:p w:rsidR="00983322" w:rsidRPr="00DD0A15" w:rsidRDefault="00983322" w:rsidP="00983322">
      <w:pPr>
        <w:autoSpaceDE w:val="0"/>
        <w:autoSpaceDN w:val="0"/>
        <w:adjustRightInd w:val="0"/>
        <w:jc w:val="center"/>
        <w:rPr>
          <w:rFonts w:cs="Times New Roman"/>
          <w:b/>
          <w:bCs/>
          <w:iCs/>
        </w:rPr>
      </w:pPr>
      <w:r w:rsidRPr="00DD0A15">
        <w:rPr>
          <w:rFonts w:cs="Times New Roman"/>
          <w:b/>
          <w:bCs/>
          <w:iCs/>
        </w:rPr>
        <w:t>Relazione Illustrativa e tecnica</w:t>
      </w:r>
    </w:p>
    <w:p w:rsidR="00983322" w:rsidRPr="00DD0A15" w:rsidRDefault="00983322" w:rsidP="00983322">
      <w:pPr>
        <w:autoSpaceDE w:val="0"/>
        <w:autoSpaceDN w:val="0"/>
        <w:adjustRightInd w:val="0"/>
        <w:rPr>
          <w:rFonts w:cs="Times New Roman"/>
        </w:rPr>
      </w:pPr>
      <w:r w:rsidRPr="00DD0A15">
        <w:rPr>
          <w:rFonts w:cs="Times New Roman"/>
        </w:rPr>
        <w:t>Al fine di incentivare il finanziamento verso le piccole e medie imprese (“PMI”) non quotate che si trovano nella fase di sperimentazione, di costituzione e di avvio dell’attività, la nuova lettera i-</w:t>
      </w:r>
      <w:r w:rsidRPr="00DD0A15">
        <w:rPr>
          <w:rFonts w:cs="Times New Roman"/>
          <w:i/>
        </w:rPr>
        <w:t>quater</w:t>
      </w:r>
      <w:r w:rsidRPr="00DD0A15">
        <w:rPr>
          <w:rFonts w:cs="Times New Roman"/>
        </w:rPr>
        <w:t>) dell’articolo 1, comma 1, del TUF introduce uno speciale veicolo di investimento societario per la gestione collettiva del risparmio, la c.d. Società di Investimento Semplice (“Sis”).</w:t>
      </w:r>
    </w:p>
    <w:p w:rsidR="00983322" w:rsidRPr="00DD0A15" w:rsidRDefault="00983322" w:rsidP="00983322">
      <w:pPr>
        <w:autoSpaceDE w:val="0"/>
        <w:autoSpaceDN w:val="0"/>
        <w:adjustRightInd w:val="0"/>
        <w:rPr>
          <w:rFonts w:cs="Times New Roman"/>
        </w:rPr>
      </w:pPr>
      <w:r w:rsidRPr="00DD0A15">
        <w:rPr>
          <w:rFonts w:cs="Times New Roman"/>
        </w:rPr>
        <w:t xml:space="preserve">Le Sis sono create allo scopo di offrire agli investitori uno strumento di investimento dedicato alla classe di attività del </w:t>
      </w:r>
      <w:r w:rsidRPr="00DD0A15">
        <w:rPr>
          <w:rFonts w:cs="Times New Roman"/>
          <w:i/>
        </w:rPr>
        <w:t>venture capital</w:t>
      </w:r>
      <w:r w:rsidRPr="00DD0A15">
        <w:rPr>
          <w:rFonts w:cs="Times New Roman"/>
        </w:rPr>
        <w:t xml:space="preserve"> nel rispetto dei vincoli derivanti dalla normativa europea in materia di gestione collettiva del risparmio. In considerazione delle dimensioni ridotte e dei vincoli di operatività, si prevede l’applicazione alla Sis di un regime agevolato rispetto alle altre forme di investimento collettivo disciplinate nel TUF. </w:t>
      </w:r>
    </w:p>
    <w:p w:rsidR="00983322" w:rsidRPr="00DD0A15" w:rsidRDefault="00983322" w:rsidP="00983322">
      <w:pPr>
        <w:autoSpaceDE w:val="0"/>
        <w:autoSpaceDN w:val="0"/>
        <w:adjustRightInd w:val="0"/>
        <w:rPr>
          <w:rFonts w:cs="Times New Roman"/>
        </w:rPr>
      </w:pPr>
      <w:r w:rsidRPr="00DD0A15">
        <w:rPr>
          <w:rFonts w:cs="Times New Roman"/>
        </w:rPr>
        <w:t>Tenuto conto che l’attività della Sis rientra nella definizione di gestione collettiva del risparmio prevista direttiva 2011/61/UE (di seguito "AIFMD") e dall’art. 32 del TUF, la Sis rientra tra i gestori ai sensi del TUF; in particolare, la Sis è costituita in forma di società di investimento per azioni a capitale fisso (“Sicaf”) di cui all’art. 1, comma 1, lett. i-</w:t>
      </w:r>
      <w:r w:rsidRPr="00DD0A15">
        <w:rPr>
          <w:rFonts w:cs="Times New Roman"/>
          <w:i/>
        </w:rPr>
        <w:t>bis</w:t>
      </w:r>
      <w:r w:rsidRPr="00DD0A15">
        <w:rPr>
          <w:rFonts w:cs="Times New Roman"/>
        </w:rPr>
        <w:t xml:space="preserve"> del TUF.</w:t>
      </w:r>
    </w:p>
    <w:p w:rsidR="00983322" w:rsidRPr="00DD0A15" w:rsidRDefault="00983322" w:rsidP="00983322">
      <w:pPr>
        <w:autoSpaceDE w:val="0"/>
        <w:autoSpaceDN w:val="0"/>
        <w:adjustRightInd w:val="0"/>
        <w:rPr>
          <w:rFonts w:cs="Times New Roman"/>
        </w:rPr>
      </w:pPr>
      <w:r w:rsidRPr="00DD0A15">
        <w:rPr>
          <w:rFonts w:cs="Times New Roman"/>
        </w:rPr>
        <w:t>Per rientrare nella definizione di Sis, l’organismo deve rispettare le seguenti condizioni:</w:t>
      </w:r>
    </w:p>
    <w:p w:rsidR="00983322" w:rsidRPr="00DD0A15" w:rsidRDefault="00983322" w:rsidP="00826FD7">
      <w:pPr>
        <w:pStyle w:val="Paragrafoelenco"/>
        <w:numPr>
          <w:ilvl w:val="0"/>
          <w:numId w:val="41"/>
        </w:numPr>
        <w:spacing w:after="0" w:line="240" w:lineRule="auto"/>
        <w:rPr>
          <w:rFonts w:ascii="Times New Roman" w:hAnsi="Times New Roman"/>
          <w:lang w:val="it-IT"/>
        </w:rPr>
      </w:pPr>
      <w:r w:rsidRPr="00DD0A15">
        <w:rPr>
          <w:rFonts w:ascii="Times New Roman" w:hAnsi="Times New Roman"/>
          <w:lang w:val="it-IT"/>
        </w:rPr>
        <w:t>gestire direttamente il patrimonio raccolto;</w:t>
      </w:r>
    </w:p>
    <w:p w:rsidR="00983322" w:rsidRPr="00DD0A15" w:rsidRDefault="00983322" w:rsidP="00826FD7">
      <w:pPr>
        <w:pStyle w:val="Paragrafoelenco"/>
        <w:numPr>
          <w:ilvl w:val="0"/>
          <w:numId w:val="41"/>
        </w:numPr>
        <w:spacing w:after="0" w:line="240" w:lineRule="auto"/>
        <w:rPr>
          <w:rFonts w:ascii="Times New Roman" w:hAnsi="Times New Roman"/>
          <w:lang w:val="it-IT"/>
        </w:rPr>
      </w:pPr>
      <w:r w:rsidRPr="00DD0A15">
        <w:rPr>
          <w:rFonts w:ascii="Times New Roman" w:hAnsi="Times New Roman"/>
          <w:lang w:val="it-IT"/>
        </w:rPr>
        <w:t>la sottoscrizione delle azioni ovvero degli strumenti finanziari partecipativi Sis deve essere riservata agli investitori professionali;</w:t>
      </w:r>
    </w:p>
    <w:p w:rsidR="00983322" w:rsidRPr="00DD0A15" w:rsidRDefault="00983322" w:rsidP="00826FD7">
      <w:pPr>
        <w:pStyle w:val="Paragrafoelenco"/>
        <w:numPr>
          <w:ilvl w:val="0"/>
          <w:numId w:val="41"/>
        </w:numPr>
        <w:spacing w:after="0" w:line="240" w:lineRule="auto"/>
        <w:rPr>
          <w:rFonts w:ascii="Times New Roman" w:hAnsi="Times New Roman"/>
          <w:lang w:val="it-IT"/>
        </w:rPr>
      </w:pPr>
      <w:r w:rsidRPr="00DD0A15">
        <w:rPr>
          <w:rFonts w:ascii="Times New Roman" w:hAnsi="Times New Roman"/>
          <w:lang w:val="it-IT"/>
        </w:rPr>
        <w:t>il patrimonio netto non deve eccedere Euro 25.000.000,00;</w:t>
      </w:r>
    </w:p>
    <w:p w:rsidR="00983322" w:rsidRPr="00DD0A15" w:rsidRDefault="00983322" w:rsidP="00826FD7">
      <w:pPr>
        <w:pStyle w:val="Paragrafoelenco"/>
        <w:numPr>
          <w:ilvl w:val="0"/>
          <w:numId w:val="41"/>
        </w:numPr>
        <w:spacing w:after="0" w:line="240" w:lineRule="auto"/>
        <w:rPr>
          <w:rFonts w:ascii="Times New Roman" w:hAnsi="Times New Roman"/>
          <w:lang w:val="it-IT"/>
        </w:rPr>
      </w:pPr>
      <w:r w:rsidRPr="00DD0A15">
        <w:rPr>
          <w:rFonts w:ascii="Times New Roman" w:hAnsi="Times New Roman"/>
          <w:lang w:val="it-IT"/>
        </w:rPr>
        <w:t>avere per oggetto esclusivo l’investimento diretto del patrimonio raccolto in PMI non quotate su mercati regolamentati di cui all’articolo 2 paragrafo 1, lettera f), primo alinea, del regolamento (UE) n. 2017/1129 del 14 giugno 2017 che si trovano nella fase di sperimentazione, di costituzione e di avvio dell’attività (intese quindi come le società che in base al loro più recente bilancio annuale o consolidato soddisfano almeno due tra questi tre criteri: numero medio di dipendenti nel corso dell’esercizio inferiore a 250, totale dello stato patrimoniale non superiore a 43 milioni, fatturato netto annuale non superiore a 50 milioni);</w:t>
      </w:r>
    </w:p>
    <w:p w:rsidR="00983322" w:rsidRPr="00DD0A15" w:rsidRDefault="00983322" w:rsidP="00826FD7">
      <w:pPr>
        <w:pStyle w:val="Paragrafoelenco"/>
        <w:numPr>
          <w:ilvl w:val="0"/>
          <w:numId w:val="41"/>
        </w:numPr>
        <w:spacing w:after="0" w:line="240" w:lineRule="auto"/>
        <w:rPr>
          <w:rFonts w:ascii="Times New Roman" w:hAnsi="Times New Roman"/>
          <w:lang w:val="it-IT"/>
        </w:rPr>
      </w:pPr>
      <w:r w:rsidRPr="00DD0A15">
        <w:rPr>
          <w:rFonts w:ascii="Times New Roman" w:hAnsi="Times New Roman"/>
          <w:lang w:val="it-IT"/>
        </w:rPr>
        <w:t>non ricorrere alla leva finanziaria;</w:t>
      </w:r>
    </w:p>
    <w:p w:rsidR="00983322" w:rsidRPr="00DD0A15" w:rsidRDefault="00983322" w:rsidP="00826FD7">
      <w:pPr>
        <w:pStyle w:val="Paragrafoelenco"/>
        <w:numPr>
          <w:ilvl w:val="0"/>
          <w:numId w:val="41"/>
        </w:numPr>
        <w:spacing w:after="0" w:line="240" w:lineRule="auto"/>
        <w:rPr>
          <w:rFonts w:ascii="Times New Roman" w:hAnsi="Times New Roman"/>
          <w:lang w:val="it-IT"/>
        </w:rPr>
      </w:pPr>
      <w:r w:rsidRPr="00DD0A15">
        <w:rPr>
          <w:rFonts w:ascii="Times New Roman" w:hAnsi="Times New Roman"/>
          <w:lang w:val="it-IT"/>
        </w:rPr>
        <w:t>disporre di un capitale sociale pari almeno quello previsto dal codice civile per le S.p.A. (50.000 Euro).</w:t>
      </w:r>
    </w:p>
    <w:p w:rsidR="00983322" w:rsidRPr="00DD0A15" w:rsidRDefault="00983322" w:rsidP="00983322">
      <w:pPr>
        <w:rPr>
          <w:rFonts w:cs="Times New Roman"/>
        </w:rPr>
      </w:pPr>
      <w:r w:rsidRPr="00DD0A15">
        <w:rPr>
          <w:rFonts w:cs="Times New Roman"/>
        </w:rPr>
        <w:t>Ai nuovi commi 2, 3 e 4 dell’articolo 35-</w:t>
      </w:r>
      <w:r w:rsidRPr="00DD0A15">
        <w:rPr>
          <w:rFonts w:cs="Times New Roman"/>
          <w:i/>
        </w:rPr>
        <w:t>undecies</w:t>
      </w:r>
      <w:r w:rsidRPr="00DD0A15">
        <w:rPr>
          <w:rFonts w:cs="Times New Roman"/>
        </w:rPr>
        <w:t xml:space="preserve"> è disciplinato il regime applicabile alle Sis.</w:t>
      </w:r>
    </w:p>
    <w:p w:rsidR="00983322" w:rsidRPr="00DD0A15" w:rsidRDefault="00983322" w:rsidP="00983322">
      <w:pPr>
        <w:rPr>
          <w:rFonts w:cs="Times New Roman"/>
        </w:rPr>
      </w:pPr>
      <w:r w:rsidRPr="00DD0A15">
        <w:rPr>
          <w:rFonts w:cs="Times New Roman"/>
        </w:rPr>
        <w:t>Nella prospettiva di creare uno strumento di investimento allo stesso tempo agevole e rispettoso della normativa europea, è previsto un regime semplificato rispetto a quello applicabile ai gestori, sfruttando la discrezionalità concessa dalla AIFMD per la definizione del regime applicabile ai gestori le cui attività non superano determinate soglie (c.d. gestori sotto-soglia).</w:t>
      </w:r>
    </w:p>
    <w:p w:rsidR="00983322" w:rsidRPr="00DD0A15" w:rsidRDefault="00983322" w:rsidP="00983322">
      <w:pPr>
        <w:rPr>
          <w:rFonts w:cs="Times New Roman"/>
        </w:rPr>
      </w:pPr>
      <w:r w:rsidRPr="00DD0A15">
        <w:rPr>
          <w:rFonts w:cs="Times New Roman"/>
        </w:rPr>
        <w:t>In particolare, il nuovo comma 2 dell’art. 35-</w:t>
      </w:r>
      <w:r w:rsidRPr="00DD0A15">
        <w:rPr>
          <w:rFonts w:cs="Times New Roman"/>
          <w:i/>
        </w:rPr>
        <w:t>undecies</w:t>
      </w:r>
      <w:r w:rsidRPr="00DD0A15">
        <w:rPr>
          <w:rFonts w:cs="Times New Roman"/>
        </w:rPr>
        <w:t xml:space="preserve"> prevede la disapplicazione alle Sis delle disposizioni attuative di Banca d’Italia e Consob di cui all’articolo 6, commi 1, 2 e 2-</w:t>
      </w:r>
      <w:r w:rsidRPr="00DD0A15">
        <w:rPr>
          <w:rFonts w:cs="Times New Roman"/>
          <w:i/>
        </w:rPr>
        <w:t>bis</w:t>
      </w:r>
      <w:r w:rsidRPr="00DD0A15">
        <w:rPr>
          <w:rFonts w:cs="Times New Roman"/>
        </w:rPr>
        <w:t>).</w:t>
      </w:r>
    </w:p>
    <w:p w:rsidR="00983322" w:rsidRPr="00DD0A15" w:rsidRDefault="00983322" w:rsidP="00983322">
      <w:pPr>
        <w:rPr>
          <w:rFonts w:cs="Times New Roman"/>
        </w:rPr>
      </w:pPr>
      <w:r w:rsidRPr="00DD0A15">
        <w:rPr>
          <w:rFonts w:cs="Times New Roman"/>
        </w:rPr>
        <w:t>In un’ottica di salvaguardia degli interessi degli investitori, il nuovo comma 2 prevede che le Sis devono adottare un sistema di governo e controllo adeguato ad assicurare la sana e prudente gestione e l’osservanza delle disposizioni loro applicabili e che, a fronte del rischio derivante dalla responsabilità professionale, devono stipulare un’assicurazione sulla responsabilità civile professionale adeguata ai rischi derivanti dall’attività svolta.</w:t>
      </w:r>
    </w:p>
    <w:p w:rsidR="00983322" w:rsidRPr="00DD0A15" w:rsidRDefault="00983322" w:rsidP="00983322">
      <w:pPr>
        <w:rPr>
          <w:rFonts w:cs="Times New Roman"/>
        </w:rPr>
      </w:pPr>
      <w:r w:rsidRPr="00DD0A15">
        <w:rPr>
          <w:rFonts w:cs="Times New Roman"/>
        </w:rPr>
        <w:t>Nell’ottica di semplificare il regime applicabile, il nuovo comma 3 prevede alcune deroghe rispetto alla disciplina generale del TUF sulle Sicaf. In particolare, è previsto che:</w:t>
      </w:r>
    </w:p>
    <w:p w:rsidR="00983322" w:rsidRPr="00DD0A15" w:rsidRDefault="00983322" w:rsidP="00826FD7">
      <w:pPr>
        <w:pStyle w:val="Paragrafoelenco"/>
        <w:numPr>
          <w:ilvl w:val="0"/>
          <w:numId w:val="42"/>
        </w:numPr>
        <w:spacing w:after="0" w:line="240" w:lineRule="auto"/>
        <w:rPr>
          <w:rFonts w:ascii="Times New Roman" w:hAnsi="Times New Roman"/>
          <w:lang w:val="it-IT"/>
        </w:rPr>
      </w:pPr>
      <w:r w:rsidRPr="00DD0A15">
        <w:rPr>
          <w:rFonts w:ascii="Times New Roman" w:hAnsi="Times New Roman"/>
          <w:lang w:val="it-IT"/>
        </w:rPr>
        <w:t>a fini autorizzativi i titolari delle partecipazioni indicate all'articolo 15, comma 1, debbano soddisfare esclusivamente il requisito di onorabilità di cui all’art. 14 del TUF;</w:t>
      </w:r>
    </w:p>
    <w:p w:rsidR="00983322" w:rsidRPr="00DD0A15" w:rsidRDefault="00983322" w:rsidP="00826FD7">
      <w:pPr>
        <w:pStyle w:val="Paragrafoelenco"/>
        <w:numPr>
          <w:ilvl w:val="0"/>
          <w:numId w:val="42"/>
        </w:numPr>
        <w:spacing w:after="0" w:line="240" w:lineRule="auto"/>
        <w:rPr>
          <w:rFonts w:ascii="Times New Roman" w:hAnsi="Times New Roman"/>
          <w:lang w:val="it-IT"/>
        </w:rPr>
      </w:pPr>
      <w:r w:rsidRPr="00DD0A15">
        <w:rPr>
          <w:rFonts w:ascii="Times New Roman" w:hAnsi="Times New Roman"/>
          <w:lang w:val="it-IT"/>
        </w:rPr>
        <w:t>la denominazione sociale della Sis contiene l'indicazione di società di investimento semplice per azioni a capitale fisso.</w:t>
      </w:r>
    </w:p>
    <w:p w:rsidR="00983322" w:rsidRPr="00DD0A15" w:rsidRDefault="00983322" w:rsidP="00983322">
      <w:pPr>
        <w:rPr>
          <w:rFonts w:cs="Times New Roman"/>
        </w:rPr>
      </w:pPr>
      <w:r w:rsidRPr="00DD0A15">
        <w:rPr>
          <w:rFonts w:cs="Times New Roman"/>
        </w:rPr>
        <w:t>La presente proposta normativa non comporta nuovi o maggiori oneri per il Bilancio dello Stato.</w:t>
      </w:r>
    </w:p>
    <w:p w:rsidR="005666CB" w:rsidRPr="002279E2" w:rsidRDefault="005666CB" w:rsidP="005666CB">
      <w:pPr>
        <w:rPr>
          <w:rFonts w:cs="Times New Roman"/>
        </w:rPr>
      </w:pPr>
    </w:p>
    <w:p w:rsidR="004F4634" w:rsidRPr="002279E2" w:rsidRDefault="006B325F" w:rsidP="00F4415B">
      <w:pPr>
        <w:pStyle w:val="Titolo2"/>
      </w:pPr>
      <w:bookmarkStart w:id="57" w:name="_Toc6937357"/>
      <w:r w:rsidRPr="002279E2">
        <w:t>Articolo</w:t>
      </w:r>
      <w:r w:rsidR="004F4634" w:rsidRPr="002279E2">
        <w:t xml:space="preserve"> </w:t>
      </w:r>
      <w:r w:rsidR="007F6E92" w:rsidRPr="002279E2">
        <w:t>2</w:t>
      </w:r>
      <w:r w:rsidR="00B973FD">
        <w:t>8</w:t>
      </w:r>
      <w:r w:rsidR="00926583" w:rsidRPr="002279E2">
        <w:br/>
      </w:r>
      <w:r w:rsidR="004F4634" w:rsidRPr="002279E2">
        <w:t>(Semplificazioni per la definizione dei patti territoriali e dei contratti d’area)</w:t>
      </w:r>
      <w:bookmarkEnd w:id="55"/>
      <w:bookmarkEnd w:id="56"/>
      <w:bookmarkEnd w:id="57"/>
    </w:p>
    <w:p w:rsidR="004C10BE" w:rsidRPr="00386E61" w:rsidRDefault="004C10BE" w:rsidP="004C10BE">
      <w:pPr>
        <w:autoSpaceDE w:val="0"/>
        <w:autoSpaceDN w:val="0"/>
        <w:adjustRightInd w:val="0"/>
        <w:rPr>
          <w:rFonts w:cs="Times New Roman"/>
        </w:rPr>
      </w:pPr>
      <w:r w:rsidRPr="00386E61">
        <w:rPr>
          <w:rFonts w:cs="Times New Roman"/>
        </w:rPr>
        <w:t xml:space="preserve">1. Per la definitiva chiusura dei procedimenti relativi alle agevolazioni concesse nell’ambito dei patti territoriali e dei contratti d’area di cui all’articolo 2, comma 203, lettere d) e f), della legge 23 dicembre 1996, n. 662, le imprese beneficiarie presentano dichiarazioni sostitutive ai sensi degli articoli 46 e 47 del decreto del Presidente della Repubblica 28 </w:t>
      </w:r>
      <w:r w:rsidR="00B74CA2">
        <w:rPr>
          <w:rFonts w:cs="Times New Roman"/>
        </w:rPr>
        <w:t>dicembre</w:t>
      </w:r>
      <w:r w:rsidRPr="00386E61">
        <w:rPr>
          <w:rFonts w:cs="Times New Roman"/>
        </w:rPr>
        <w:t xml:space="preserve"> 2000, n. 445, attestanti in particolare l’ultimazione dell’intervento agevolato e le spese sostenute per la realizzazione dello stesso. I contenuti specifici, i termini, le modalità e gli schemi per la presentazione delle predette dichiarazioni sono individuati con decreto del Ministro dello sviluppo economico da emanare entro 60 giorni dall’entrata in vigore del presente decreto legge. L’erogazione degli importi spettanti è autorizzata sulla base delle predette dichiarazioni nei limiti del contributo concesso e delle disposizioni di cui all’articolo 40, comma 9-ter del decreto-legge 6 dicembre 2011, n. 201, convertito con modificazioni dalla legge 22 dicembre 2011, n. 214. Sono fatti salvi i provvedimenti adottati fino alla data di emanazione della predetta direttiva ai sensi della normativa previgente. Per l’insieme delle imprese che non presentano le dichiarazioni sostitutive sopra indicate, entro 60 giorni dalla data di pubblicazione del predetto decreto, il Ministero dello sviluppo economico accerta la decadenza dai benefici con provvedimento da pubblicare nella Gazzetta Ufficiale della Repubblica italiana, con salvezza degli importi già erogati sulla base dei costi e delle spese sostenute.</w:t>
      </w:r>
    </w:p>
    <w:p w:rsidR="004C10BE" w:rsidRPr="00386E61" w:rsidRDefault="004C10BE" w:rsidP="004C10BE">
      <w:pPr>
        <w:autoSpaceDE w:val="0"/>
        <w:autoSpaceDN w:val="0"/>
        <w:adjustRightInd w:val="0"/>
        <w:rPr>
          <w:rFonts w:cs="Times New Roman"/>
        </w:rPr>
      </w:pPr>
      <w:r w:rsidRPr="00386E61">
        <w:rPr>
          <w:rFonts w:cs="Times New Roman"/>
        </w:rPr>
        <w:t>2. Il Ministero dello sviluppo economico, anche per il tramite del Nucleo speciale spesa pubblica e repressione frodi comunitarie della Guardia di finanza, ai sensi dell’articolo 25, comma 1, del decreto-legge 22 giugno 2012, n. 83, convertito, con modificazioni, dalla legge 7 agosto 2012, n. 134, effettua controlli e ispezioni, anche a campion</w:t>
      </w:r>
      <w:r w:rsidRPr="009F7E2E">
        <w:rPr>
          <w:rFonts w:cs="Times New Roman"/>
          <w:color w:val="auto"/>
        </w:rPr>
        <w:t>e,</w:t>
      </w:r>
      <w:r w:rsidR="001F6BE3" w:rsidRPr="009F7E2E">
        <w:rPr>
          <w:iCs/>
          <w:color w:val="auto"/>
          <w:szCs w:val="24"/>
        </w:rPr>
        <w:t xml:space="preserve"> in misura non inferiore al 20% del loro totale</w:t>
      </w:r>
      <w:r w:rsidR="001F6BE3" w:rsidRPr="009F7E2E">
        <w:rPr>
          <w:i/>
          <w:iCs/>
          <w:color w:val="auto"/>
          <w:szCs w:val="24"/>
        </w:rPr>
        <w:t>,</w:t>
      </w:r>
      <w:r w:rsidRPr="009F7E2E">
        <w:rPr>
          <w:rFonts w:cs="Times New Roman"/>
          <w:color w:val="auto"/>
        </w:rPr>
        <w:t xml:space="preserve"> sugli interventi agevolati volti a verificare l’attuazione degli interventi medesimi nonché la veridicità delle dichiarazioni sostitutive presentate ai sensi del comma 1. Il predetto Ministero redige entro il 31 dicembre di ciascun anno una relazione di sintesi annuale circa gli esiti dei controlli da pubblicare sul sito istituzionale. </w:t>
      </w:r>
      <w:r w:rsidR="00E74B3E" w:rsidRPr="009F7E2E">
        <w:rPr>
          <w:iCs/>
          <w:color w:val="auto"/>
          <w:szCs w:val="24"/>
        </w:rPr>
        <w:t>Agli oneri per i precitati controlli ed ispezioni si provvede, nel limite massimo di 500.000 euro, a valere sulle risorse residue disponibili dei patti territoriali.</w:t>
      </w:r>
      <w:r w:rsidR="00E74B3E" w:rsidRPr="009F7E2E">
        <w:rPr>
          <w:i/>
          <w:iCs/>
          <w:color w:val="auto"/>
          <w:szCs w:val="24"/>
        </w:rPr>
        <w:t xml:space="preserve"> </w:t>
      </w:r>
      <w:r w:rsidRPr="009F7E2E">
        <w:rPr>
          <w:rFonts w:cs="Times New Roman"/>
          <w:color w:val="auto"/>
        </w:rPr>
        <w:t>Eventuali irregolarità emerse nell’ambito dei predetti controlli comportano la revoca del contri</w:t>
      </w:r>
      <w:r w:rsidRPr="00386E61">
        <w:rPr>
          <w:rFonts w:cs="Times New Roman"/>
        </w:rPr>
        <w:t>buto erogato e l’irrogazione di una sanzione amministrativa pecuniaria ai sensi della legge 24 novembre 1981, n. 689, consistente nel pagamento di una somma in misura da due a quattro volte l’importo dell’aiuto fruito.</w:t>
      </w:r>
    </w:p>
    <w:p w:rsidR="004C10BE" w:rsidRPr="00386E61" w:rsidRDefault="004C10BE" w:rsidP="004C10BE">
      <w:pPr>
        <w:autoSpaceDE w:val="0"/>
        <w:autoSpaceDN w:val="0"/>
        <w:adjustRightInd w:val="0"/>
        <w:rPr>
          <w:rFonts w:cs="Times New Roman"/>
        </w:rPr>
      </w:pPr>
      <w:r w:rsidRPr="00386E61">
        <w:rPr>
          <w:rFonts w:cs="Times New Roman"/>
        </w:rPr>
        <w:t>3. Fatti salvi gli impegni già assunti in favore delle imprese beneficiarie ovvero relativi alle rimodulazioni già autorizz</w:t>
      </w:r>
      <w:r w:rsidRPr="009F7E2E">
        <w:rPr>
          <w:rFonts w:cs="Times New Roman"/>
          <w:color w:val="auto"/>
        </w:rPr>
        <w:t>ate,</w:t>
      </w:r>
      <w:r w:rsidR="00E74B3E" w:rsidRPr="009F7E2E">
        <w:rPr>
          <w:rFonts w:cs="Times New Roman"/>
          <w:color w:val="auto"/>
        </w:rPr>
        <w:t xml:space="preserve"> </w:t>
      </w:r>
      <w:r w:rsidR="00E74B3E" w:rsidRPr="009F7E2E">
        <w:rPr>
          <w:iCs/>
          <w:color w:val="auto"/>
          <w:szCs w:val="24"/>
        </w:rPr>
        <w:t>nonché le risorse necessarie per la copertura degli oneri per i controlli e le ispezioni</w:t>
      </w:r>
      <w:r w:rsidRPr="009F7E2E">
        <w:rPr>
          <w:rFonts w:cs="Times New Roman"/>
          <w:color w:val="auto"/>
        </w:rPr>
        <w:t xml:space="preserve"> le </w:t>
      </w:r>
      <w:r w:rsidRPr="00386E61">
        <w:rPr>
          <w:rFonts w:cs="Times New Roman"/>
        </w:rPr>
        <w:t>risorse residue dei patti territoriali, ove non costituiscano residui perenti, sono utilizzate per il finanziamento di progetti volti allo sviluppo del tessuto imprenditoriale territoriale, anche mediante la sperimentazione di servizi innovativi a supporto delle imprese. Con decreto del Ministro dello sviluppo economico, di concerto con il Ministero dell’economia e delle finanze, d’intesa con la Conferenza permanente per i rapporti tra lo Stato, le Regioni e le Province autonome di Trento e Bolzano, sono stabiliti i criteri per la ripartizione e il trasferimento delle predette risorse, nonché la disciplina per l’attuazione dei precitati progetti, anche valorizzando modelli gestionali efficienti e pregresse esperienze positive dei soggetti che hanno dimostrato capacità operativa di carattere continuativo nell’ambito della gestione dei Patti territoriali. Resta ferma l’attribuzione al Fondo per la crescita sostenibile di cui all’articolo 23 del decreto-legge 22 giugno 2012, n. 83, convertito, con modificazioni, dalla legge 7 agosto 2012, n. 134, delle economie relative ai contratti d’area.</w:t>
      </w:r>
    </w:p>
    <w:p w:rsidR="0024091C" w:rsidRPr="002279E2" w:rsidRDefault="0024091C" w:rsidP="00612935">
      <w:pPr>
        <w:rPr>
          <w:rFonts w:eastAsia="Times New Roman" w:cs="Times New Roman"/>
          <w:i/>
        </w:rPr>
      </w:pPr>
    </w:p>
    <w:p w:rsidR="0024091C" w:rsidRPr="002279E2" w:rsidRDefault="0024091C" w:rsidP="009A6E96">
      <w:pPr>
        <w:jc w:val="center"/>
        <w:rPr>
          <w:rFonts w:eastAsia="Times New Roman" w:cs="Times New Roman"/>
          <w:b/>
        </w:rPr>
      </w:pPr>
      <w:r w:rsidRPr="002279E2">
        <w:rPr>
          <w:rFonts w:eastAsia="Times New Roman" w:cs="Times New Roman"/>
          <w:b/>
        </w:rPr>
        <w:t>Relazione illustrativa</w:t>
      </w:r>
    </w:p>
    <w:p w:rsidR="0024091C" w:rsidRPr="002279E2" w:rsidRDefault="0024091C" w:rsidP="00612935">
      <w:pPr>
        <w:rPr>
          <w:rFonts w:eastAsia="Times New Roman" w:cs="Times New Roman"/>
        </w:rPr>
      </w:pPr>
      <w:r w:rsidRPr="002279E2">
        <w:rPr>
          <w:rFonts w:eastAsia="Times New Roman" w:cs="Times New Roman"/>
        </w:rPr>
        <w:t xml:space="preserve">La norma proposta prevede modalità semplificate per la definitiva chiusura dei procedimenti relativi alle iniziative agevolate nell’ambito dei Patti territoriali e dei Contratti d'area, strumenti di programmazione negoziata introdotti dalla legge n. 662/1996, più volte oggetto di interventi del CIPE e del Legislatore. </w:t>
      </w:r>
    </w:p>
    <w:p w:rsidR="0024091C" w:rsidRPr="002279E2" w:rsidRDefault="0024091C" w:rsidP="00612935">
      <w:pPr>
        <w:rPr>
          <w:rFonts w:eastAsia="Times New Roman" w:cs="Times New Roman"/>
        </w:rPr>
      </w:pPr>
      <w:r w:rsidRPr="002279E2">
        <w:rPr>
          <w:rFonts w:eastAsia="Times New Roman" w:cs="Times New Roman"/>
        </w:rPr>
        <w:t xml:space="preserve">Relativamente a detti strumenti, permane ad oggi un’intensa attività di gestione con circa n. 1.300 iniziative produttive non ancora definite rispetto agli originari n. 12.000 interventi agevolati a partire dagli anni 1997/1998. Le difficoltà connesse alla mancata chiusura degli interventi, risiedono in particolare nella complessità procedurali proprie degli strumenti negoziali, nei molteplici interventi legislativi che hanno inciso sul termine consentito per l’ultimazione dei programmi agevolati a valere sui richiamati strumenti nonché nella progressiva rarefazione dell’operatività di taluni Soggetti responsabili e Responsabili unici che, nonostante detengano una posizione di centralità funzionale nell’ambito dei rispettivi strumenti, in alcuni casi, ritardano ed omettono l’emissione di determinazioni di propria competenza, in altri casi, dismettono la propria attività causando considerevoli ritardi nella definizione dell’iter procedimentale. </w:t>
      </w:r>
    </w:p>
    <w:p w:rsidR="0024091C" w:rsidRPr="002279E2" w:rsidRDefault="0024091C" w:rsidP="00612935">
      <w:pPr>
        <w:rPr>
          <w:rFonts w:eastAsia="Times New Roman" w:cs="Times New Roman"/>
        </w:rPr>
      </w:pPr>
      <w:r w:rsidRPr="002279E2">
        <w:rPr>
          <w:rFonts w:eastAsia="Times New Roman" w:cs="Times New Roman"/>
        </w:rPr>
        <w:t xml:space="preserve">Al fine di accelerare la chiusura dei predetti programmi, il decreto-legge 22 giugno 2012, n. 83, convertito, con modificazioni, dalla legge 7 agosto 2012, n. 134, ha introdotto procedure semplificate di gestione dei procedimenti. Tuttavia, tale intervento legislativo è risultato solo parzialmente risolutivo in quanto ha agito semplificando gli aspetti procedurali di carattere revocatorio, ma non ha indicato elementi di semplificazione per snellire le procedure di erogazione dei contributi alle imprese che avevano ultimato positivamente gli interventi agevolati nei termini di legge previsti. </w:t>
      </w:r>
    </w:p>
    <w:p w:rsidR="0024091C" w:rsidRPr="002279E2" w:rsidRDefault="0024091C" w:rsidP="00612935">
      <w:pPr>
        <w:rPr>
          <w:rFonts w:eastAsia="Times New Roman" w:cs="Times New Roman"/>
        </w:rPr>
      </w:pPr>
      <w:r w:rsidRPr="002279E2">
        <w:rPr>
          <w:rFonts w:eastAsia="Times New Roman" w:cs="Times New Roman"/>
        </w:rPr>
        <w:t>La proposta normativa in argomento, anche alla luce della pregressa esperienza, tende a colmare tale esigenza, agendo prevalentemente sulla semplificazione delle modalità d’erogazione delle agevolazioni riducendone i tempi, prevedendo altresì procedure semplificate per accertare la decadenza dai benefici per l’insieme delle imprese che non hanno diritto a ricevere l’intera agevolazione concessa.</w:t>
      </w:r>
    </w:p>
    <w:p w:rsidR="0024091C" w:rsidRPr="002279E2" w:rsidRDefault="0024091C" w:rsidP="00612935">
      <w:pPr>
        <w:rPr>
          <w:rFonts w:eastAsia="Times New Roman" w:cs="Times New Roman"/>
        </w:rPr>
      </w:pPr>
      <w:r w:rsidRPr="002279E2">
        <w:rPr>
          <w:rFonts w:eastAsia="Times New Roman" w:cs="Times New Roman"/>
        </w:rPr>
        <w:t xml:space="preserve">In particolare, il comma 1 della proposta in commento consente al Ministero di autorizzare l’erogazione del contributo sulla base di una dichiarazione sostitutiva ai sensi degli articoli 46 e 47 del decreto del Presidente della Repubblica 28 </w:t>
      </w:r>
      <w:r w:rsidR="00B74CA2">
        <w:rPr>
          <w:rFonts w:eastAsia="Times New Roman" w:cs="Times New Roman"/>
        </w:rPr>
        <w:t>dicembre</w:t>
      </w:r>
      <w:r w:rsidRPr="002279E2">
        <w:rPr>
          <w:rFonts w:eastAsia="Times New Roman" w:cs="Times New Roman"/>
        </w:rPr>
        <w:t xml:space="preserve"> 2000, n. 445, resa dalle imprese interessate nei termini, nelle modalità e secondo gli schemi adottati con circolare ministeriale, attestante, fra l’altro, l’ultimazione dell’intervento nonché la regolarità dei pagamenti dei relativi titoli di spesa. Il contributo è riconosciuto nei limiti delle disposizioni di cui all’articolo 40, comma 9-ter del decreto-legge 6 dicembre 2011, n. 201, convertito con modificazioni dalla legge 22 dicembre 2011, n. 214. Per le imprese che non abbiano provveduto all’invio della predetta dichiarazione sostitutiva, si prevede che il Ministero accerti la decadenza dai benefici attraverso l’adozione di un provvedimento che riguarderà l’insieme delle imprese interessate e che sarà pubblicato nella Gazzetta Ufficiale della Repubblica Italiana, salvaguardando gli importi già erogati sulla base dei costi e delle spese sostenute dalle imprese. </w:t>
      </w:r>
    </w:p>
    <w:p w:rsidR="0024091C" w:rsidRPr="002279E2" w:rsidRDefault="0024091C" w:rsidP="00612935">
      <w:pPr>
        <w:rPr>
          <w:rFonts w:eastAsia="Times New Roman" w:cs="Times New Roman"/>
        </w:rPr>
      </w:pPr>
      <w:r w:rsidRPr="002279E2">
        <w:rPr>
          <w:rFonts w:eastAsia="Times New Roman" w:cs="Times New Roman"/>
        </w:rPr>
        <w:t>Tale disposizione consente pertanto di procedere alla definitiva chiusura dei procedimenti amministrativi ricompresi nei due strumenti negoziali con un forte contenimento degli oneri di gestione e una riduzione considerevole del contenzioso amministravo.</w:t>
      </w:r>
    </w:p>
    <w:p w:rsidR="0024091C" w:rsidRPr="002279E2" w:rsidRDefault="0024091C" w:rsidP="00612935">
      <w:pPr>
        <w:rPr>
          <w:rFonts w:eastAsia="Times New Roman" w:cs="Times New Roman"/>
        </w:rPr>
      </w:pPr>
      <w:r w:rsidRPr="002279E2">
        <w:rPr>
          <w:rFonts w:eastAsia="Times New Roman" w:cs="Times New Roman"/>
        </w:rPr>
        <w:t xml:space="preserve">Al fine di evitare che la semplificazione si risolva in uno strumento di elusione delle condizioni previste per beneficiare delle agevolazioni, il comma 2 della norma proposta prevede che il Ministero, anche per il tramite del Nucleo speciale spesa pubblica e repressione frodi comunitarie della Guardia di finanza, proceda a successivi accertamenti sugli investimenti realizzati. Nell’eventualità di riscontro di comportamenti elusivi da parte delle imprese interessate, oltre alla revoca del contributo secondo le procedure previste dalle norme di riferimento, è irrogata all’impresa responsabile una sanzione amministrativa pecuniaria ai sensi della legge 24 novembre 1981, n. 689, consistente nel pagamento di una somma in misura da due a quattro volte l'importo dell'aiuto fruito. Il Ministero entro il 31 dicembre di ciascun anno produce una relazione di sintesi relativa agli esiti dei controlli svolti. </w:t>
      </w:r>
    </w:p>
    <w:p w:rsidR="0024091C" w:rsidRPr="002279E2" w:rsidRDefault="0024091C" w:rsidP="00612935">
      <w:pPr>
        <w:rPr>
          <w:rFonts w:eastAsia="Times New Roman" w:cs="Times New Roman"/>
        </w:rPr>
      </w:pPr>
      <w:r w:rsidRPr="002279E2">
        <w:rPr>
          <w:rFonts w:eastAsia="Times New Roman" w:cs="Times New Roman"/>
        </w:rPr>
        <w:t>Infine, il comma 3 della disposizione proposta incide sulla destinazione delle risorse, impegnate per iniziative imprenditoriali ed interventi infrastrutturali dei patti territoriali risultate disponibili, ovvero che si renderanno disponibili a seguito di rinunce, revoche e rideterminazioni dei contributi. La disposizione fa salvi gli impegni finanziari già assunti dal Ministero per la realizzazione delle iniziative produttive nonché per la realizzazione di interventi infrastrutturali già approvati. Tali risorse saranno utilizzate dalle Regioni per il finanziamento di progetti volti allo sviluppo del tessuto imprenditoriale territoriale, anche mediante la sperimentazione di servizi innovativi a supporto delle imprese. I criteri per la ripartizione e il trasferimento delle risorse, nonché i principi per l’attuazione e la gestione dei richiamati progetti di sviluppo da parte delle Regioni, sono stabiliti con decreto del MiSE, di concerto con il MEF, d’intesa con la Conferenza Stato-Regione, anche valorizzando, secondo una logica di continuità operativa, i modelli gestionali efficienti e le positive capacità organizzative dei Soggetti che hanno garantito la funzionalità dei Patti territoriali. Resta impregiudicata l’assegnazione, prevista dalla vigente normativa, al Fondo per la crescita sostenibile di cui all’art. 23 del D.L. 83/2012, delle economie riferibili allo strumento dei contratti d’area.</w:t>
      </w:r>
    </w:p>
    <w:p w:rsidR="0024091C" w:rsidRPr="002279E2" w:rsidRDefault="0024091C" w:rsidP="00612935">
      <w:pPr>
        <w:rPr>
          <w:rFonts w:eastAsia="Times New Roman" w:cs="Times New Roman"/>
          <w:i/>
        </w:rPr>
      </w:pPr>
    </w:p>
    <w:p w:rsidR="0024091C" w:rsidRPr="002279E2" w:rsidRDefault="0024091C" w:rsidP="009A6E96">
      <w:pPr>
        <w:jc w:val="center"/>
        <w:rPr>
          <w:rFonts w:eastAsia="Times New Roman" w:cs="Times New Roman"/>
          <w:b/>
        </w:rPr>
      </w:pPr>
      <w:r w:rsidRPr="002279E2">
        <w:rPr>
          <w:rFonts w:eastAsia="Times New Roman" w:cs="Times New Roman"/>
          <w:b/>
        </w:rPr>
        <w:t>Relazione tecnica</w:t>
      </w:r>
    </w:p>
    <w:p w:rsidR="0024091C" w:rsidRPr="002279E2" w:rsidRDefault="0024091C" w:rsidP="00612935">
      <w:pPr>
        <w:rPr>
          <w:rFonts w:eastAsia="Times New Roman" w:cs="Times New Roman"/>
        </w:rPr>
      </w:pPr>
      <w:r w:rsidRPr="002279E2">
        <w:rPr>
          <w:rFonts w:eastAsia="Times New Roman" w:cs="Times New Roman"/>
        </w:rPr>
        <w:t xml:space="preserve">La norma proposta incide sui circa n. 1.300 procedimenti (sugli oltre 12.000 procedimenti proposti a valere sulle misure) relativi ad iniziative produttive non ancora definiti. Tenuto conto dei monitoraggi svolti dai preposti uffici del Ministero, si ipotizza che la metà dei predetti procedimenti pendenti, pari a circa n. 650 iniziative, possa essere interessata dalle dichiarazioni sostitutive di cui al comma 1, mentre la restante parte delle iniziative si stima possa essere interessata dalla procedura di decadenza.  Le previsioni in commento consentiranno pertanto di procedere alla definitiva chiusura dei due strumenti negoziali con un forte contenimento degli oneri di gestione e una riduzione considerevole del contenzioso amministravo, risolvendosi in un notevole risparmio di spesa. </w:t>
      </w:r>
    </w:p>
    <w:p w:rsidR="0024091C" w:rsidRPr="002279E2" w:rsidRDefault="0024091C" w:rsidP="00612935">
      <w:pPr>
        <w:rPr>
          <w:rFonts w:eastAsia="Times New Roman" w:cs="Times New Roman"/>
        </w:rPr>
      </w:pPr>
      <w:r w:rsidRPr="002279E2">
        <w:rPr>
          <w:rFonts w:eastAsia="Times New Roman" w:cs="Times New Roman"/>
        </w:rPr>
        <w:t>Sotto il profilo degli oneri finanziari, la norma non comporta nuovi o maggiori oneri per la finanza pubblica.</w:t>
      </w:r>
    </w:p>
    <w:p w:rsidR="0024091C" w:rsidRPr="002279E2" w:rsidRDefault="0024091C" w:rsidP="00612935">
      <w:pPr>
        <w:rPr>
          <w:rFonts w:eastAsia="Times New Roman" w:cs="Times New Roman"/>
        </w:rPr>
      </w:pPr>
      <w:r w:rsidRPr="002279E2">
        <w:rPr>
          <w:rFonts w:eastAsia="Times New Roman" w:cs="Times New Roman"/>
        </w:rPr>
        <w:t>Si premette, sulla base dei dati estratti a gennaio 2019, le disponibilità sui conti di tesoreria presso la Cassa depositi e prestiti destinate all’attuazione degli interventi agevolati nell’ambito dei due strumenti negoziali, risultano pari ad euro 446.257.799, di cui 116.358.177 appostate sul conto di tesoreria n. 29851 relativo ai Contratti d’area ed euro 329.899.622 appostate sul conto di tesoreria n. 29852 relativo ai Patti territoriali.</w:t>
      </w:r>
    </w:p>
    <w:p w:rsidR="0024091C" w:rsidRPr="002279E2" w:rsidRDefault="0024091C" w:rsidP="00612935">
      <w:pPr>
        <w:rPr>
          <w:rFonts w:eastAsia="Times New Roman" w:cs="Times New Roman"/>
        </w:rPr>
      </w:pPr>
      <w:r w:rsidRPr="002279E2">
        <w:rPr>
          <w:rFonts w:eastAsia="Times New Roman" w:cs="Times New Roman"/>
        </w:rPr>
        <w:t xml:space="preserve">Quanto agli oneri relativi allo svolgimento dei controlli previsti al comma 2, possono essere utilizzate parte delle risorse (nel limite massimo di 500.000 euro) appostate sul conto di tesoreria n. 29852 impegnate per iniziative imprenditoriali ed interventi infrastrutturali esclusivamente nell'ambito dei patti territoriali, a vario titolo non erogabili (es. risorse non erogabili a seguito di rinuncia delle imprese ovvero dei provvedimenti di rideterminazione delle agevolazioni, nonché di de-finanziamento). Alla data del 31 luglio 2018 le risorse appostate sul predetto conto di tesoreria n. 29852 ammontano a circa euro 15.000.000, al netto degli impegni già assunti e delle risorse precauzionalmente mantenute per far fronte agli oneri derivanti dal contenzioso in essere, pari a circa euro 36.500.000, calcolato sulla base dell'incidenza dei provvedimenti giudiziali sfavorevoli che si attestano intorno al 50%. </w:t>
      </w:r>
    </w:p>
    <w:p w:rsidR="0024091C" w:rsidRPr="002279E2" w:rsidRDefault="0024091C" w:rsidP="00612935">
      <w:pPr>
        <w:rPr>
          <w:rFonts w:eastAsia="Times New Roman" w:cs="Times New Roman"/>
        </w:rPr>
      </w:pPr>
      <w:r w:rsidRPr="002279E2">
        <w:rPr>
          <w:rFonts w:eastAsia="Times New Roman" w:cs="Times New Roman"/>
        </w:rPr>
        <w:t xml:space="preserve">Si precisa che rispetto ai circa n. 1300 interventi non ancora definiti, l’amministrazione, sulla base dei dati gestionali relativi ai due strumenti, stima che circa n. 650 iniziative possano essere interessate da dichiarazioni sostitutive di cui al comma 1 per un possibile fabbisogno pari a circa euro 50.000.000 per entrambi gli strumenti negoziali. Peraltro detto importo risulta alquanto sovrastimato in quanto suscettibile di ridursi, in fase di attuazione della norma, per effetto di possibili rideterminazioni o decurtazioni del contributo spettante a seguito delle verifiche amministrative che verranno condotte su ciascun intervento completato. In considerazione dell’esperienza gestionale dei competenti Uffici, il fabbisogno stimato, a seguito delle verifiche predette potrebbe ridursi del 15%. Non è peraltro escluso che nel novero delle imprese considerato, possano esserci realtà imprenditoriali che a vario titolo hanno cessato la propria attività. Pertanto, l’importo necessario si riduce a circa euro 42.500.000. </w:t>
      </w:r>
    </w:p>
    <w:p w:rsidR="0024091C" w:rsidRPr="002279E2" w:rsidRDefault="0024091C" w:rsidP="00612935">
      <w:pPr>
        <w:rPr>
          <w:rFonts w:eastAsia="Times New Roman" w:cs="Times New Roman"/>
        </w:rPr>
      </w:pPr>
      <w:r w:rsidRPr="002279E2">
        <w:rPr>
          <w:rFonts w:eastAsia="Times New Roman" w:cs="Times New Roman"/>
        </w:rPr>
        <w:t xml:space="preserve">Con riferimento ai flussi finanziari dei conti di tesoreria afferenti ai Patti territoriali e ai Contratti d’area, le effettive erogazioni registrate nell’anno 2018 a favore delle iniziative imprenditoriali ricomprese nei due strumenti negoziali risultano complessivamente pari a euro 7.688.261,84. </w:t>
      </w:r>
    </w:p>
    <w:p w:rsidR="0024091C" w:rsidRPr="002279E2" w:rsidRDefault="0024091C" w:rsidP="00612935">
      <w:pPr>
        <w:rPr>
          <w:rFonts w:eastAsia="Times New Roman" w:cs="Times New Roman"/>
        </w:rPr>
      </w:pPr>
      <w:r w:rsidRPr="002279E2">
        <w:rPr>
          <w:rFonts w:eastAsia="Times New Roman" w:cs="Times New Roman"/>
        </w:rPr>
        <w:t xml:space="preserve">Tenuto conto dei tempi di attuazione della norma (60 giorni per l’adozione delle disposizioni operative da parte del Ministero dello sviluppo economico, cui si aggiungono 60 giorni per la presentazione delle dichiarazioni da parte delle imprese interessate), nonché dei tempi necessari per i successivi riscontri istruttori (verifiche amministrative, ricezione dei DURC, verifiche ai sensi della disciplina antimafia), le proiezioni di spesa relative all’erogazione del precitato importo stimato (pari ad euro 42.500.000), si attesterebbero per l’anno 2019 a circa euro 12.750.000 e a circa euro 29.750.000 per l’anno 2020. </w:t>
      </w:r>
    </w:p>
    <w:p w:rsidR="0024091C" w:rsidRPr="002279E2" w:rsidRDefault="0024091C" w:rsidP="00612935">
      <w:pPr>
        <w:rPr>
          <w:rFonts w:eastAsia="Times New Roman" w:cs="Times New Roman"/>
        </w:rPr>
      </w:pPr>
      <w:r w:rsidRPr="002279E2">
        <w:rPr>
          <w:rFonts w:eastAsia="Times New Roman" w:cs="Times New Roman"/>
        </w:rPr>
        <w:t xml:space="preserve">Di contro, in considerazione dei procedimenti interessati dalla decadenza, che si stima possano riguardare n. 650 iniziative, si renderanno disponibili considerevoli risorse, ora immobilizzate, pari ad almeno 70 milioni, da destinare nella misura di circa euro 40.000.000 a nuovi interventi di cui al comma 3 per lo sviluppo del tessuto imprenditoriale. Detti interventi daranno luogo a profili di spesa non prima del 2022 considerati i tempi di attuazione delle nuove misure e quelli di realizzazione e rendicontazione delle iniziative che saranno ammesse alle agevolazioni, che in ogni caso rispetteranno gli equilibri di finanza pubblica. Le restanti economie pari a circa euro 30.000.000, relative allo strumento dei Contratti d’area, saranno destinate al Fondo crescita sostenibile di cui all’articolo 23 del decreto legge 22 giugno 2012, n. 83 secondo le disposizioni di legge vigenti. </w:t>
      </w:r>
    </w:p>
    <w:p w:rsidR="009039A0" w:rsidRPr="002279E2" w:rsidRDefault="009039A0" w:rsidP="00612935">
      <w:pPr>
        <w:rPr>
          <w:rFonts w:cs="Times New Roman"/>
          <w:szCs w:val="24"/>
        </w:rPr>
      </w:pPr>
    </w:p>
    <w:p w:rsidR="00007903" w:rsidRPr="002279E2" w:rsidRDefault="00007903" w:rsidP="00F4415B">
      <w:pPr>
        <w:pStyle w:val="Titolo2"/>
      </w:pPr>
      <w:bookmarkStart w:id="58" w:name="_Toc4174444"/>
      <w:bookmarkStart w:id="59" w:name="_Toc6937358"/>
      <w:r w:rsidRPr="002279E2">
        <w:t>Art</w:t>
      </w:r>
      <w:r w:rsidR="006B325F" w:rsidRPr="002279E2">
        <w:t>icolo</w:t>
      </w:r>
      <w:r w:rsidRPr="002279E2">
        <w:t xml:space="preserve"> </w:t>
      </w:r>
      <w:r w:rsidR="00B973FD">
        <w:t>29</w:t>
      </w:r>
      <w:r w:rsidR="00926583" w:rsidRPr="002279E2">
        <w:br/>
      </w:r>
      <w:r w:rsidRPr="002279E2">
        <w:t>(</w:t>
      </w:r>
      <w:r w:rsidR="001D32B4" w:rsidRPr="002279E2">
        <w:rPr>
          <w:szCs w:val="24"/>
        </w:rPr>
        <w:t>Nuove imprese a tasso zero, Smart &amp; Start e Digital Transformation)</w:t>
      </w:r>
      <w:bookmarkEnd w:id="58"/>
      <w:bookmarkEnd w:id="59"/>
      <w:r w:rsidR="00226EC8" w:rsidRPr="002279E2">
        <w:t xml:space="preserve"> </w:t>
      </w:r>
    </w:p>
    <w:p w:rsidR="004C10BE" w:rsidRPr="00D50229" w:rsidRDefault="004C10BE" w:rsidP="004C10BE">
      <w:pPr>
        <w:shd w:val="clear" w:color="auto" w:fill="FFFFFF" w:themeFill="background1"/>
        <w:rPr>
          <w:rFonts w:cs="Times New Roman"/>
        </w:rPr>
      </w:pPr>
      <w:r w:rsidRPr="00D50229">
        <w:rPr>
          <w:rFonts w:cs="Times New Roman"/>
        </w:rPr>
        <w:t>1. Al decreto legislativo 21 aprile 2000, n. 185 sono apportate le seguenti modifiche:</w:t>
      </w:r>
    </w:p>
    <w:p w:rsidR="004C10BE" w:rsidRPr="00D50229" w:rsidRDefault="004C10BE" w:rsidP="004C10BE">
      <w:pPr>
        <w:shd w:val="clear" w:color="auto" w:fill="FFFFFF" w:themeFill="background1"/>
        <w:rPr>
          <w:rFonts w:eastAsia="Times New Roman" w:cs="Times New Roman"/>
          <w:i/>
        </w:rPr>
      </w:pPr>
      <w:r w:rsidRPr="00D50229">
        <w:rPr>
          <w:rFonts w:cs="Times New Roman"/>
        </w:rPr>
        <w:t>a) all’articolo 2, comma 1, le parole: “</w:t>
      </w:r>
      <w:r w:rsidRPr="00D50229">
        <w:rPr>
          <w:rFonts w:cs="Times New Roman"/>
          <w:i/>
        </w:rPr>
        <w:t>della durata massima di 8 anni</w:t>
      </w:r>
      <w:r w:rsidRPr="00D50229">
        <w:rPr>
          <w:rFonts w:cs="Times New Roman"/>
        </w:rPr>
        <w:t>” sono sostituite dalle seguenti: “</w:t>
      </w:r>
      <w:r w:rsidRPr="00D50229">
        <w:rPr>
          <w:rFonts w:cs="Times New Roman"/>
          <w:i/>
        </w:rPr>
        <w:t>della durata massima di 10 anni</w:t>
      </w:r>
      <w:r w:rsidRPr="00D50229">
        <w:rPr>
          <w:rFonts w:cs="Times New Roman"/>
        </w:rPr>
        <w:t>” e, in fine, è aggiunto il seguente periodo: “</w:t>
      </w:r>
      <w:r w:rsidRPr="00D50229">
        <w:rPr>
          <w:rFonts w:eastAsia="Times New Roman" w:cs="Times New Roman"/>
          <w:i/>
        </w:rPr>
        <w:t xml:space="preserve">Nel caso di imprese costituite da almeno 36 mesi e da non oltre 60 mesi, la percentuale di copertura delle spese ammissibili è innalzata al 90% del totale e le agevolazioni possono essere concesse ai sensi dell’articolo 17 del regolamento (UE) n. 651/2014 della Commissione del 17 giugno 2014 che dichiara alcune categorie di aiuti compatibili con il mercato interno in applicazione degli articoli 107 e 108 del </w:t>
      </w:r>
      <w:r w:rsidRPr="00386E61">
        <w:rPr>
          <w:rFonts w:eastAsia="Times New Roman" w:cs="Times New Roman"/>
          <w:i/>
        </w:rPr>
        <w:t>T</w:t>
      </w:r>
      <w:r w:rsidRPr="00D50229">
        <w:rPr>
          <w:rFonts w:eastAsia="Times New Roman" w:cs="Times New Roman"/>
          <w:i/>
        </w:rPr>
        <w:t>rattato</w:t>
      </w:r>
      <w:r w:rsidRPr="00386E61">
        <w:rPr>
          <w:rFonts w:eastAsia="Times New Roman" w:cs="Times New Roman"/>
          <w:i/>
        </w:rPr>
        <w:t xml:space="preserve"> sul funzionamento dell’Unione europea</w:t>
      </w:r>
      <w:r w:rsidRPr="00D50229">
        <w:rPr>
          <w:rFonts w:eastAsia="Times New Roman" w:cs="Times New Roman"/>
          <w:i/>
        </w:rPr>
        <w:t>”;</w:t>
      </w:r>
    </w:p>
    <w:p w:rsidR="004C10BE" w:rsidRPr="00D50229" w:rsidRDefault="004C10BE" w:rsidP="004C10BE">
      <w:pPr>
        <w:shd w:val="clear" w:color="auto" w:fill="FFFFFF" w:themeFill="background1"/>
        <w:rPr>
          <w:rFonts w:eastAsia="Times New Roman" w:cs="Times New Roman"/>
        </w:rPr>
      </w:pPr>
      <w:r w:rsidRPr="00D50229">
        <w:rPr>
          <w:rFonts w:eastAsia="Times New Roman" w:cs="Times New Roman"/>
        </w:rPr>
        <w:t>b) all’articolo 3, le parole: “</w:t>
      </w:r>
      <w:r w:rsidRPr="00D50229">
        <w:rPr>
          <w:rFonts w:eastAsia="Times New Roman" w:cs="Times New Roman"/>
          <w:i/>
        </w:rPr>
        <w:t>dodici mesi</w:t>
      </w:r>
      <w:r w:rsidRPr="00D50229">
        <w:rPr>
          <w:rFonts w:eastAsia="Times New Roman" w:cs="Times New Roman"/>
        </w:rPr>
        <w:t>” sono sostituite dalle seguenti: “</w:t>
      </w:r>
      <w:r w:rsidRPr="00D50229">
        <w:rPr>
          <w:rFonts w:eastAsia="Times New Roman" w:cs="Times New Roman"/>
          <w:i/>
        </w:rPr>
        <w:t>sessanta mesi</w:t>
      </w:r>
      <w:r w:rsidRPr="00D50229">
        <w:rPr>
          <w:rFonts w:eastAsia="Times New Roman" w:cs="Times New Roman"/>
        </w:rPr>
        <w:t>”;</w:t>
      </w:r>
    </w:p>
    <w:p w:rsidR="004C10BE" w:rsidRPr="00D50229" w:rsidRDefault="004C10BE" w:rsidP="004C10BE">
      <w:pPr>
        <w:shd w:val="clear" w:color="auto" w:fill="FFFFFF" w:themeFill="background1"/>
        <w:rPr>
          <w:rFonts w:eastAsia="Times New Roman" w:cs="Times New Roman"/>
        </w:rPr>
      </w:pPr>
      <w:r w:rsidRPr="00D50229">
        <w:rPr>
          <w:rFonts w:eastAsia="Times New Roman" w:cs="Times New Roman"/>
        </w:rPr>
        <w:t>c) all’articolo 4, le parole: “</w:t>
      </w:r>
      <w:r w:rsidRPr="00D50229">
        <w:rPr>
          <w:rFonts w:eastAsia="Times New Roman" w:cs="Times New Roman"/>
          <w:i/>
        </w:rPr>
        <w:t>e fatti salvi le esclusioni e i limiti previsti dal regolamento e dalle relative disposizioni modificative di cui all’articolo 2, comma 1</w:t>
      </w:r>
      <w:r w:rsidRPr="00D50229">
        <w:rPr>
          <w:rFonts w:eastAsia="Times New Roman" w:cs="Times New Roman"/>
        </w:rPr>
        <w:t>” sono soppresse e, in fine, è aggiunto il seguente periodo: “</w:t>
      </w:r>
      <w:r w:rsidRPr="00D50229">
        <w:rPr>
          <w:rFonts w:eastAsia="Times New Roman" w:cs="Times New Roman"/>
          <w:i/>
        </w:rPr>
        <w:t>L’importo massimo delle spese ammissibili è innalzato a 3 milioni di euro per le imprese costituite da almeno 36 mesi e da non oltre 60 mesi. Sono fatte salve le limitazioni derivanti dall’applicazione della disciplina europea in materia di aiuti di Stato di riferimento</w:t>
      </w:r>
      <w:r w:rsidRPr="00D50229">
        <w:rPr>
          <w:rFonts w:eastAsia="Times New Roman" w:cs="Times New Roman"/>
        </w:rPr>
        <w:t>.”;</w:t>
      </w:r>
    </w:p>
    <w:p w:rsidR="004C10BE" w:rsidRPr="00D50229" w:rsidRDefault="004C10BE" w:rsidP="004C10BE">
      <w:pPr>
        <w:shd w:val="clear" w:color="auto" w:fill="FFFFFF" w:themeFill="background1"/>
        <w:rPr>
          <w:rFonts w:cs="Times New Roman"/>
        </w:rPr>
      </w:pPr>
      <w:r w:rsidRPr="00D50229">
        <w:rPr>
          <w:rFonts w:cs="Times New Roman"/>
        </w:rPr>
        <w:t>d) dopo l’articolo 4-</w:t>
      </w:r>
      <w:r w:rsidRPr="00D50229">
        <w:rPr>
          <w:rFonts w:cs="Times New Roman"/>
          <w:i/>
        </w:rPr>
        <w:t>bis</w:t>
      </w:r>
      <w:r w:rsidRPr="00D50229">
        <w:rPr>
          <w:rFonts w:cs="Times New Roman"/>
        </w:rPr>
        <w:t xml:space="preserve"> è aggiunto il seguente:</w:t>
      </w:r>
    </w:p>
    <w:p w:rsidR="004C10BE" w:rsidRPr="00D50229" w:rsidRDefault="004C10BE" w:rsidP="004C10BE">
      <w:pPr>
        <w:shd w:val="clear" w:color="auto" w:fill="FFFFFF" w:themeFill="background1"/>
        <w:ind w:left="708"/>
        <w:rPr>
          <w:rFonts w:cs="Times New Roman"/>
          <w:i/>
        </w:rPr>
      </w:pPr>
      <w:r w:rsidRPr="00D50229">
        <w:rPr>
          <w:rFonts w:cs="Times New Roman"/>
        </w:rPr>
        <w:t>“</w:t>
      </w:r>
      <w:r w:rsidRPr="00D50229">
        <w:rPr>
          <w:rFonts w:cs="Times New Roman"/>
          <w:i/>
        </w:rPr>
        <w:t>Articolo 4-ter</w:t>
      </w:r>
    </w:p>
    <w:p w:rsidR="004C10BE" w:rsidRPr="00D50229" w:rsidRDefault="004C10BE" w:rsidP="004C10BE">
      <w:pPr>
        <w:shd w:val="clear" w:color="auto" w:fill="FFFFFF" w:themeFill="background1"/>
        <w:ind w:left="708"/>
        <w:rPr>
          <w:rFonts w:cs="Times New Roman"/>
          <w:i/>
        </w:rPr>
      </w:pPr>
      <w:r w:rsidRPr="00D50229">
        <w:rPr>
          <w:rFonts w:cs="Times New Roman"/>
          <w:i/>
        </w:rPr>
        <w:t>(Cumulo)</w:t>
      </w:r>
    </w:p>
    <w:p w:rsidR="004C10BE" w:rsidRPr="00D50229" w:rsidRDefault="004C10BE" w:rsidP="004C10BE">
      <w:pPr>
        <w:shd w:val="clear" w:color="auto" w:fill="FFFFFF" w:themeFill="background1"/>
        <w:ind w:left="708"/>
        <w:rPr>
          <w:rFonts w:cs="Times New Roman"/>
        </w:rPr>
      </w:pPr>
      <w:r w:rsidRPr="00D50229">
        <w:rPr>
          <w:rFonts w:cs="Times New Roman"/>
          <w:i/>
        </w:rPr>
        <w:t>1. Le agevolazioni di cui al presente capo possono essere cumulate con altri aiuti di Stato anche de minimis, nei limiti previsti dalla disciplina europea in materia di aiuti di Stato di riferimento</w:t>
      </w:r>
      <w:r w:rsidRPr="00D50229">
        <w:rPr>
          <w:rFonts w:cs="Times New Roman"/>
        </w:rPr>
        <w:t xml:space="preserve">.”. </w:t>
      </w:r>
    </w:p>
    <w:p w:rsidR="004C10BE" w:rsidRPr="00D50229" w:rsidRDefault="004C10BE" w:rsidP="004C10BE">
      <w:pPr>
        <w:shd w:val="clear" w:color="auto" w:fill="FFFFFF" w:themeFill="background1"/>
        <w:rPr>
          <w:rFonts w:cs="Times New Roman"/>
        </w:rPr>
      </w:pPr>
      <w:r w:rsidRPr="00D50229">
        <w:rPr>
          <w:rFonts w:cs="Times New Roman"/>
        </w:rPr>
        <w:t>2. Per garantire il tempestivo adeguamento alle disposizioni di cui al comma 1 e individuare modalità atte a consentire la maggiore efficacia dell’intervento, con decreto del Ministro dello sviluppo economico, di concerto con il Ministro dell’economia e delle finanze, da adottare entro 90 giorni dalla data di entrata in vigore del presente decreto-legge, è ridefinita la disciplina di attuazione della misura di cui al capo 0I del decreto legislativo 21 aprile 2000, n. 185, prevedendo anche, per le imprese di più recente costituzione, l’offerta di servizi di tutoraggio e la copertura dei costi iniziali di gestione, per una percentuale comunque non superiore al 20% del totale delle spese ammissibili. Fino all’entrata in vigore delle predette disposizioni attuative, alle iniziative agevolate ai sensi del medesimo decreto legislativo continua ad applicarsi la disciplina vigente alla data di entrata in vigore del presente decreto.</w:t>
      </w:r>
    </w:p>
    <w:p w:rsidR="004C10BE" w:rsidRPr="00D50229" w:rsidRDefault="004C10BE" w:rsidP="004C10BE">
      <w:pPr>
        <w:shd w:val="clear" w:color="auto" w:fill="FFFFFF" w:themeFill="background1"/>
        <w:rPr>
          <w:rFonts w:cs="Times New Roman"/>
        </w:rPr>
      </w:pPr>
      <w:r w:rsidRPr="00D50229">
        <w:rPr>
          <w:rFonts w:cs="Times New Roman"/>
        </w:rPr>
        <w:t xml:space="preserve">3. Al fine di garantire la piena accessibilità agli interventi per l’incentivazione delle attività imprenditoriali e il contenimento degli oneri amministrativi e finanziari a carico delle imprese beneficiarie, il Ministro dello sviluppo economico procede con propri decreti, entro 90 giorni dalla data di entrata in vigore della presente norma e sulla base dei criteri di cui al comma 4, alla revisione della disciplina attuativa degli strumenti di competenza, con particolare riferimento agli interventi per le aree di crisi industriale agevolati ai sensi della legge 15 maggio 1989, n. 181 e all’intervento in favore delle start-up innovative di cui al decreto del Ministro dello sviluppo economico 24 settembre 2014, pubblicato nella Gazzetta Ufficiale della Repubblica italiana n. 264 del 13 novembre 2014. Ai medesimi fini il Ministero dello sviluppo economico fornisce, ove necessario, specifiche direttive ai soggetti gestori dei singoli interventi. </w:t>
      </w:r>
    </w:p>
    <w:p w:rsidR="004C10BE" w:rsidRPr="00D50229" w:rsidRDefault="004C10BE" w:rsidP="004C10BE">
      <w:pPr>
        <w:shd w:val="clear" w:color="auto" w:fill="FFFFFF" w:themeFill="background1"/>
        <w:rPr>
          <w:rFonts w:cs="Times New Roman"/>
        </w:rPr>
      </w:pPr>
      <w:r w:rsidRPr="00D50229">
        <w:rPr>
          <w:rFonts w:cs="Times New Roman"/>
        </w:rPr>
        <w:t>4. La revisione di cui al comma 3 è improntata alla semplificazione e accelerazione delle procedure di accesso, concessione e erogazione delle agevolazioni, anche attraverso l’aggiornamento delle modalità di valutazione delle iniziative e di rendicontazione delle spese sostenute dai beneficiari, nonché all’incremento dell’efficacia degli interventi, con l’individuazione di modalità di intervento più adeguate al contesto di riferimento e idonee a consentire l’ampia partecipazione dei soggetti interessati, anche mediante una revisione degli impegni finanziari richiesti ai proponenti, nonché, per gli interventi di riqualificazione delle aree di crisi industriale, atte a favorire la partecipazione anche finanziaria degli enti e soggetti del territorio.</w:t>
      </w:r>
    </w:p>
    <w:p w:rsidR="004C10BE" w:rsidRPr="00D50229" w:rsidRDefault="004C10BE" w:rsidP="004C10BE">
      <w:pPr>
        <w:shd w:val="clear" w:color="auto" w:fill="FFFFFF" w:themeFill="background1"/>
        <w:tabs>
          <w:tab w:val="left" w:pos="426"/>
        </w:tabs>
        <w:rPr>
          <w:rFonts w:cs="Times New Roman"/>
        </w:rPr>
      </w:pPr>
      <w:r w:rsidRPr="00D50229">
        <w:rPr>
          <w:rFonts w:cs="Times New Roman"/>
        </w:rPr>
        <w:t>5. Al fine di favorire la trasformazione tecnologica e digitale dei processi produttivi delle imprese, di micro, piccola e media dimensione, con decreto del Ministero dello sviluppo economico sono stabiliti i criteri, le condizioni e le modalità per la concessione di agevolazioni finanziarie nella misura massima del 50 per cento dei costi ammissibili definite nei limiti stabiliti dal Regolamento (UE) 1407/2013 ovvero dell’articolo 29 del Regolamento UE n. 651 del 2014.</w:t>
      </w:r>
    </w:p>
    <w:p w:rsidR="004C10BE" w:rsidRPr="00D50229" w:rsidRDefault="004C10BE" w:rsidP="004C10BE">
      <w:pPr>
        <w:shd w:val="clear" w:color="auto" w:fill="FFFFFF" w:themeFill="background1"/>
        <w:tabs>
          <w:tab w:val="left" w:pos="426"/>
        </w:tabs>
        <w:rPr>
          <w:rFonts w:cs="Times New Roman"/>
        </w:rPr>
      </w:pPr>
      <w:r w:rsidRPr="00D50229">
        <w:rPr>
          <w:rFonts w:cs="Times New Roman"/>
        </w:rPr>
        <w:t>6. Le agevolazioni di cui al comma 5 sono dirette a sostenere la realizzazione dei progetti di trasformazione tecnologia e digitale aventi le seguenti caratteristiche:</w:t>
      </w:r>
    </w:p>
    <w:p w:rsidR="004C10BE" w:rsidRPr="00D50229" w:rsidRDefault="004C10BE" w:rsidP="00826FD7">
      <w:pPr>
        <w:pStyle w:val="Paragrafoelenco"/>
        <w:numPr>
          <w:ilvl w:val="1"/>
          <w:numId w:val="9"/>
        </w:numPr>
        <w:shd w:val="clear" w:color="auto" w:fill="FFFFFF" w:themeFill="background1"/>
        <w:tabs>
          <w:tab w:val="left" w:pos="709"/>
        </w:tabs>
        <w:spacing w:after="0" w:line="240" w:lineRule="auto"/>
        <w:ind w:left="0" w:firstLine="284"/>
        <w:contextualSpacing w:val="0"/>
        <w:rPr>
          <w:rFonts w:ascii="Times New Roman" w:hAnsi="Times New Roman"/>
          <w:lang w:val="it-IT"/>
        </w:rPr>
      </w:pPr>
      <w:r w:rsidRPr="00D50229">
        <w:rPr>
          <w:rFonts w:ascii="Times New Roman" w:hAnsi="Times New Roman"/>
          <w:lang w:val="it-IT"/>
        </w:rPr>
        <w:t xml:space="preserve">essere diretti all’implementazione delle tecnologie abilitanti individuate nel piano Impresa 4.0 </w:t>
      </w:r>
      <w:r w:rsidRPr="00D50229">
        <w:rPr>
          <w:rFonts w:ascii="Times New Roman" w:hAnsi="Times New Roman"/>
          <w:i/>
          <w:lang w:val="it-IT"/>
        </w:rPr>
        <w:t>(a</w:t>
      </w:r>
      <w:r w:rsidRPr="00D50229">
        <w:rPr>
          <w:rFonts w:ascii="Times New Roman" w:hAnsi="Times New Roman"/>
          <w:i/>
          <w:iCs/>
          <w:lang w:val="it-IT"/>
        </w:rPr>
        <w:t>dvanced manufacturing solutions</w:t>
      </w:r>
      <w:r w:rsidRPr="00D50229">
        <w:rPr>
          <w:rFonts w:ascii="Times New Roman" w:hAnsi="Times New Roman"/>
          <w:i/>
          <w:lang w:val="it-IT"/>
        </w:rPr>
        <w:t>, a</w:t>
      </w:r>
      <w:r w:rsidRPr="00D50229">
        <w:rPr>
          <w:rFonts w:ascii="Times New Roman" w:hAnsi="Times New Roman"/>
          <w:i/>
          <w:iCs/>
          <w:lang w:val="it-IT"/>
        </w:rPr>
        <w:t>ddittive manufacturing</w:t>
      </w:r>
      <w:r w:rsidRPr="00D50229">
        <w:rPr>
          <w:rFonts w:ascii="Times New Roman" w:hAnsi="Times New Roman"/>
          <w:i/>
          <w:lang w:val="it-IT"/>
        </w:rPr>
        <w:t>, realtà aumentata, s</w:t>
      </w:r>
      <w:r w:rsidRPr="00D50229">
        <w:rPr>
          <w:rFonts w:ascii="Times New Roman" w:hAnsi="Times New Roman"/>
          <w:i/>
          <w:iCs/>
          <w:lang w:val="it-IT"/>
        </w:rPr>
        <w:t>imulation</w:t>
      </w:r>
      <w:r w:rsidRPr="00D50229">
        <w:rPr>
          <w:rFonts w:ascii="Times New Roman" w:hAnsi="Times New Roman"/>
          <w:i/>
          <w:lang w:val="it-IT"/>
        </w:rPr>
        <w:t>, integrazione orizzontale e verticale</w:t>
      </w:r>
      <w:r w:rsidRPr="00D50229">
        <w:rPr>
          <w:rFonts w:ascii="Times New Roman" w:hAnsi="Times New Roman"/>
          <w:i/>
          <w:iCs/>
          <w:lang w:val="it-IT"/>
        </w:rPr>
        <w:t>, industrial internet</w:t>
      </w:r>
      <w:r w:rsidRPr="00D50229">
        <w:rPr>
          <w:rFonts w:ascii="Times New Roman" w:hAnsi="Times New Roman"/>
          <w:i/>
          <w:lang w:val="it-IT"/>
        </w:rPr>
        <w:t>,</w:t>
      </w:r>
      <w:r w:rsidRPr="00D50229">
        <w:rPr>
          <w:rFonts w:ascii="Times New Roman" w:hAnsi="Times New Roman"/>
          <w:i/>
          <w:iCs/>
          <w:lang w:val="it-IT"/>
        </w:rPr>
        <w:t xml:space="preserve"> cloud, cybersecuruty,</w:t>
      </w:r>
      <w:r w:rsidRPr="00D50229">
        <w:rPr>
          <w:rFonts w:ascii="Times New Roman" w:hAnsi="Times New Roman"/>
          <w:i/>
          <w:lang w:val="it-IT"/>
        </w:rPr>
        <w:t xml:space="preserve"> b</w:t>
      </w:r>
      <w:r w:rsidRPr="00D50229">
        <w:rPr>
          <w:rFonts w:ascii="Times New Roman" w:hAnsi="Times New Roman"/>
          <w:i/>
          <w:iCs/>
          <w:lang w:val="it-IT"/>
        </w:rPr>
        <w:t xml:space="preserve">ig data </w:t>
      </w:r>
      <w:r w:rsidRPr="00D50229">
        <w:rPr>
          <w:rFonts w:ascii="Times New Roman" w:hAnsi="Times New Roman"/>
          <w:i/>
          <w:lang w:val="it-IT"/>
        </w:rPr>
        <w:t xml:space="preserve">e </w:t>
      </w:r>
      <w:r w:rsidRPr="00D50229">
        <w:rPr>
          <w:rFonts w:ascii="Times New Roman" w:hAnsi="Times New Roman"/>
          <w:i/>
          <w:iCs/>
          <w:lang w:val="it-IT"/>
        </w:rPr>
        <w:t>analytics</w:t>
      </w:r>
      <w:r w:rsidRPr="00D50229">
        <w:rPr>
          <w:rFonts w:ascii="Times New Roman" w:hAnsi="Times New Roman"/>
          <w:lang w:val="it-IT"/>
        </w:rPr>
        <w:t>);</w:t>
      </w:r>
    </w:p>
    <w:p w:rsidR="004C10BE" w:rsidRPr="00D50229" w:rsidRDefault="004C10BE" w:rsidP="00826FD7">
      <w:pPr>
        <w:pStyle w:val="Paragrafoelenco"/>
        <w:numPr>
          <w:ilvl w:val="1"/>
          <w:numId w:val="9"/>
        </w:numPr>
        <w:shd w:val="clear" w:color="auto" w:fill="FFFFFF" w:themeFill="background1"/>
        <w:tabs>
          <w:tab w:val="left" w:pos="709"/>
        </w:tabs>
        <w:spacing w:after="0" w:line="240" w:lineRule="auto"/>
        <w:ind w:left="0" w:firstLine="284"/>
        <w:contextualSpacing w:val="0"/>
        <w:rPr>
          <w:rFonts w:ascii="Times New Roman" w:hAnsi="Times New Roman"/>
          <w:lang w:val="it-IT"/>
        </w:rPr>
      </w:pPr>
      <w:r w:rsidRPr="00D50229">
        <w:rPr>
          <w:rFonts w:ascii="Times New Roman" w:hAnsi="Times New Roman"/>
          <w:lang w:val="it-IT"/>
        </w:rPr>
        <w:t>presentare un importo di spesa almeno pari a 200.000,00 euro;</w:t>
      </w:r>
    </w:p>
    <w:p w:rsidR="004C10BE" w:rsidRPr="00D50229" w:rsidRDefault="004C10BE" w:rsidP="004C10BE">
      <w:pPr>
        <w:shd w:val="clear" w:color="auto" w:fill="FFFFFF" w:themeFill="background1"/>
        <w:tabs>
          <w:tab w:val="left" w:pos="709"/>
        </w:tabs>
        <w:rPr>
          <w:rFonts w:cs="Times New Roman"/>
        </w:rPr>
      </w:pPr>
      <w:r w:rsidRPr="00D50229">
        <w:rPr>
          <w:rFonts w:cs="Times New Roman"/>
        </w:rPr>
        <w:t>7. Per l’accesso alle agevolazioni di comma 5 le imprese devono possedere, alla data di presentazione della domanda di agevolazione, le seguenti caratteristiche:</w:t>
      </w:r>
    </w:p>
    <w:p w:rsidR="004C10BE" w:rsidRPr="00D50229" w:rsidRDefault="004C10BE" w:rsidP="00826FD7">
      <w:pPr>
        <w:pStyle w:val="Paragrafoelenco"/>
        <w:numPr>
          <w:ilvl w:val="1"/>
          <w:numId w:val="9"/>
        </w:numPr>
        <w:shd w:val="clear" w:color="auto" w:fill="FFFFFF" w:themeFill="background1"/>
        <w:tabs>
          <w:tab w:val="left" w:pos="709"/>
        </w:tabs>
        <w:spacing w:after="0" w:line="240" w:lineRule="auto"/>
        <w:ind w:left="0" w:firstLine="284"/>
        <w:contextualSpacing w:val="0"/>
        <w:rPr>
          <w:rFonts w:ascii="Times New Roman" w:hAnsi="Times New Roman"/>
          <w:lang w:val="it-IT"/>
        </w:rPr>
      </w:pPr>
      <w:r w:rsidRPr="00D50229">
        <w:rPr>
          <w:rFonts w:ascii="Times New Roman" w:hAnsi="Times New Roman"/>
          <w:lang w:val="it-IT"/>
        </w:rPr>
        <w:t>essere iscritte e risultare attive nel Registro delle imprese;</w:t>
      </w:r>
    </w:p>
    <w:p w:rsidR="004C10BE" w:rsidRPr="00D50229" w:rsidRDefault="004C10BE" w:rsidP="00826FD7">
      <w:pPr>
        <w:pStyle w:val="Paragrafoelenco"/>
        <w:numPr>
          <w:ilvl w:val="1"/>
          <w:numId w:val="9"/>
        </w:numPr>
        <w:shd w:val="clear" w:color="auto" w:fill="FFFFFF" w:themeFill="background1"/>
        <w:tabs>
          <w:tab w:val="left" w:pos="709"/>
        </w:tabs>
        <w:spacing w:after="0" w:line="240" w:lineRule="auto"/>
        <w:ind w:left="0" w:firstLine="284"/>
        <w:contextualSpacing w:val="0"/>
        <w:rPr>
          <w:rFonts w:ascii="Times New Roman" w:hAnsi="Times New Roman"/>
          <w:lang w:val="it-IT"/>
        </w:rPr>
      </w:pPr>
      <w:r w:rsidRPr="00D50229">
        <w:rPr>
          <w:rFonts w:ascii="Times New Roman" w:hAnsi="Times New Roman"/>
          <w:lang w:val="it-IT"/>
        </w:rPr>
        <w:t>operare in via prevalente/primaria nel settore manifatturiero e/o in quello dei servizi diretti alle imprese manifatturiere;</w:t>
      </w:r>
    </w:p>
    <w:p w:rsidR="004C10BE" w:rsidRPr="00D50229" w:rsidRDefault="004C10BE" w:rsidP="00826FD7">
      <w:pPr>
        <w:pStyle w:val="Paragrafoelenco"/>
        <w:numPr>
          <w:ilvl w:val="1"/>
          <w:numId w:val="9"/>
        </w:numPr>
        <w:shd w:val="clear" w:color="auto" w:fill="FFFFFF" w:themeFill="background1"/>
        <w:tabs>
          <w:tab w:val="left" w:pos="709"/>
        </w:tabs>
        <w:spacing w:after="0" w:line="240" w:lineRule="auto"/>
        <w:ind w:left="0" w:firstLine="284"/>
        <w:contextualSpacing w:val="0"/>
        <w:rPr>
          <w:rFonts w:ascii="Times New Roman" w:hAnsi="Times New Roman"/>
          <w:lang w:val="it-IT"/>
        </w:rPr>
      </w:pPr>
      <w:r w:rsidRPr="00D50229">
        <w:rPr>
          <w:rFonts w:ascii="Times New Roman" w:hAnsi="Times New Roman"/>
          <w:lang w:val="it-IT"/>
        </w:rPr>
        <w:t>avere conseguito nell’esercizio cui si riferisce l’ultimo bilancio approvato e depositato un importo dei ricavi delle vendite e delle prestazioni pari almeno a euro 500.000;</w:t>
      </w:r>
    </w:p>
    <w:p w:rsidR="004C10BE" w:rsidRPr="00D50229" w:rsidRDefault="004C10BE" w:rsidP="00826FD7">
      <w:pPr>
        <w:pStyle w:val="Paragrafoelenco"/>
        <w:numPr>
          <w:ilvl w:val="1"/>
          <w:numId w:val="9"/>
        </w:numPr>
        <w:shd w:val="clear" w:color="auto" w:fill="FFFFFF" w:themeFill="background1"/>
        <w:tabs>
          <w:tab w:val="left" w:pos="709"/>
        </w:tabs>
        <w:spacing w:after="0" w:line="240" w:lineRule="auto"/>
        <w:ind w:left="0" w:firstLine="284"/>
        <w:contextualSpacing w:val="0"/>
        <w:rPr>
          <w:rFonts w:ascii="Times New Roman" w:hAnsi="Times New Roman"/>
          <w:lang w:val="it-IT"/>
        </w:rPr>
      </w:pPr>
      <w:r w:rsidRPr="00D50229">
        <w:rPr>
          <w:rFonts w:ascii="Times New Roman" w:hAnsi="Times New Roman"/>
          <w:lang w:val="it-IT"/>
        </w:rPr>
        <w:t>aver approvato e depositato almeno due bilanci;</w:t>
      </w:r>
    </w:p>
    <w:p w:rsidR="004C10BE" w:rsidRPr="00D50229" w:rsidRDefault="004C10BE" w:rsidP="00826FD7">
      <w:pPr>
        <w:pStyle w:val="Paragrafoelenco"/>
        <w:numPr>
          <w:ilvl w:val="1"/>
          <w:numId w:val="9"/>
        </w:numPr>
        <w:shd w:val="clear" w:color="auto" w:fill="FFFFFF" w:themeFill="background1"/>
        <w:tabs>
          <w:tab w:val="left" w:pos="709"/>
        </w:tabs>
        <w:spacing w:after="0" w:line="240" w:lineRule="auto"/>
        <w:ind w:left="0" w:firstLine="284"/>
        <w:contextualSpacing w:val="0"/>
        <w:rPr>
          <w:rFonts w:ascii="Times New Roman" w:hAnsi="Times New Roman"/>
          <w:lang w:val="it-IT"/>
        </w:rPr>
      </w:pPr>
      <w:r w:rsidRPr="00D50229">
        <w:rPr>
          <w:rFonts w:ascii="Times New Roman" w:hAnsi="Times New Roman"/>
          <w:lang w:val="it-IT"/>
        </w:rPr>
        <w:t>non essere sottoposto a procedura concorsuale e non trovarsi in stato di fallimento, di liquidazione anche volontaria, di amministrazione controllata, di concordato preventivo o in qualsiasi altra situazione equivalente secondo la normativa vigente.</w:t>
      </w:r>
    </w:p>
    <w:p w:rsidR="00621A74" w:rsidRPr="00474DAC" w:rsidRDefault="00621A74" w:rsidP="004C10BE">
      <w:pPr>
        <w:shd w:val="clear" w:color="auto" w:fill="FFFFFF" w:themeFill="background1"/>
        <w:tabs>
          <w:tab w:val="left" w:pos="709"/>
        </w:tabs>
        <w:rPr>
          <w:rFonts w:cs="Times New Roman"/>
          <w:strike/>
        </w:rPr>
      </w:pPr>
      <w:r w:rsidRPr="00BC5C85">
        <w:t xml:space="preserve">8. </w:t>
      </w:r>
      <w:r w:rsidRPr="00474DAC">
        <w:t>Per la concessione delle agevolazioni di cui ai commi da 5 a 7 è autorizzata la spesa di 10 milioni di euro per ciascuno degli anni 2019 e 2020 per la concessione di contributi a fondo perduto e sono destinati 80 milioni di euro a valere sulle disponibilità del Fondo per la crescita sostenibile di cui all’articolo 23 del decreto-legge 22 giugno 2012, n. 83, convertito, con modificazioni, con legge 7 agosto 2012, n. 134, per la concessione di finanziamenti agevolati.</w:t>
      </w:r>
    </w:p>
    <w:p w:rsidR="004C10BE" w:rsidRPr="00D50229" w:rsidRDefault="004C10BE" w:rsidP="004C10BE">
      <w:pPr>
        <w:shd w:val="clear" w:color="auto" w:fill="FFFFFF" w:themeFill="background1"/>
        <w:rPr>
          <w:rFonts w:cs="Times New Roman"/>
        </w:rPr>
      </w:pPr>
    </w:p>
    <w:p w:rsidR="004C10BE" w:rsidRPr="00D50229" w:rsidRDefault="004C10BE" w:rsidP="004C10BE">
      <w:pPr>
        <w:shd w:val="clear" w:color="auto" w:fill="FFFFFF" w:themeFill="background1"/>
        <w:rPr>
          <w:rFonts w:cs="Times New Roman"/>
          <w:b/>
          <w:i/>
        </w:rPr>
      </w:pPr>
      <w:r w:rsidRPr="00D50229">
        <w:rPr>
          <w:rFonts w:cs="Times New Roman"/>
          <w:b/>
          <w:i/>
        </w:rPr>
        <w:t>Relazione illustrativa commi 1 e 2 (Nuove imprese a tasso zero)</w:t>
      </w:r>
    </w:p>
    <w:p w:rsidR="004C10BE" w:rsidRPr="00D50229" w:rsidRDefault="004C10BE" w:rsidP="004C10BE">
      <w:pPr>
        <w:shd w:val="clear" w:color="auto" w:fill="FFFFFF" w:themeFill="background1"/>
        <w:rPr>
          <w:rFonts w:cs="Times New Roman"/>
        </w:rPr>
      </w:pPr>
      <w:r w:rsidRPr="00D50229">
        <w:rPr>
          <w:rFonts w:cs="Times New Roman"/>
        </w:rPr>
        <w:t xml:space="preserve">La norma è volta a consentire un’opera di revisione della misura per l’autoimprenditorialità a prevalente partecipazione giovanile e femminile di cui al Titolo I, Capo 0I del decreto legislativo 21 aprile 2000, n. 185 (c.d. Nuove imprese a tasso zero) al fine di ampliarne la capacità di intervento e di renderla maggiormente attrattiva per le imprese, eliminando anche gli elementi di rigidità, che ne minano l’efficacia e la stessa capacità di raggiungimento del fine di sviluppo perseguito. </w:t>
      </w:r>
    </w:p>
    <w:p w:rsidR="004C10BE" w:rsidRPr="00D50229" w:rsidRDefault="004C10BE" w:rsidP="004C10BE">
      <w:pPr>
        <w:shd w:val="clear" w:color="auto" w:fill="FFFFFF" w:themeFill="background1"/>
        <w:rPr>
          <w:rFonts w:cs="Times New Roman"/>
        </w:rPr>
      </w:pPr>
      <w:r w:rsidRPr="00D50229">
        <w:rPr>
          <w:rFonts w:cs="Times New Roman"/>
        </w:rPr>
        <w:t>Tra le principali criticità della norma attuale, vi è infatti la previsione di requisiti di accesso eccessivamente restrittivi, tali da generare un basso tasso di ammissione rispetto alle domande presentate, in contrasto con gli obiettivi della stessa. A tal fine si propone, in primo luogo, di ampliare il novero dei potenziali beneficiari della misura, innalzando il limite temporale relativo alla costituzione dell’impresa. Saranno ammesse alla presentazione della domanda, imprese che siano costituite da non più di 60 mesi alla data di presentazione, modificando il limite di 12 mesi della vigente disposizione.</w:t>
      </w:r>
    </w:p>
    <w:p w:rsidR="004C10BE" w:rsidRPr="00D50229" w:rsidRDefault="004C10BE" w:rsidP="004C10BE">
      <w:pPr>
        <w:shd w:val="clear" w:color="auto" w:fill="FFFFFF" w:themeFill="background1"/>
        <w:rPr>
          <w:rFonts w:cs="Times New Roman"/>
        </w:rPr>
      </w:pPr>
      <w:r w:rsidRPr="00D50229">
        <w:rPr>
          <w:rFonts w:cs="Times New Roman"/>
        </w:rPr>
        <w:t xml:space="preserve">Con riguardo ai programmi di investimento ammissibili, si dispone l’aumento della percentuale di copertura delle spese ammissibili, innalzandola al 90% del totale, per le imprese che siano costituite da almeno 36 mesi e da non più di 60 mesi, con eventuale applicazione del regime di esenzione per gli investimenti delle PMI, ex art. 17 del regolamento (UE) n. 651/2014. La durata del mutuo agevolato viene inoltre aumentata da 8 anni a 10 anni. </w:t>
      </w:r>
    </w:p>
    <w:p w:rsidR="004C10BE" w:rsidRPr="00D50229" w:rsidRDefault="004C10BE" w:rsidP="004C10BE">
      <w:pPr>
        <w:shd w:val="clear" w:color="auto" w:fill="FFFFFF" w:themeFill="background1"/>
        <w:rPr>
          <w:rFonts w:cs="Times New Roman"/>
        </w:rPr>
      </w:pPr>
      <w:r w:rsidRPr="00D50229">
        <w:rPr>
          <w:rFonts w:cs="Times New Roman"/>
        </w:rPr>
        <w:t xml:space="preserve">All’articolo 4 del decreto legislativo </w:t>
      </w:r>
      <w:r w:rsidRPr="00386E61">
        <w:rPr>
          <w:rFonts w:cs="Times New Roman"/>
        </w:rPr>
        <w:t xml:space="preserve">21 aprile 2000, n. 185 </w:t>
      </w:r>
      <w:r w:rsidRPr="00D50229">
        <w:rPr>
          <w:rFonts w:cs="Times New Roman"/>
        </w:rPr>
        <w:t>viene poi aggiunta la previsione circa l’importo massimo delle spese ammissibili, innalzato a 3 milioni di euro per le imprese costituite da almeno 36 mesi e da non oltre 60 mesi.</w:t>
      </w:r>
    </w:p>
    <w:p w:rsidR="004C10BE" w:rsidRPr="00D50229" w:rsidRDefault="004C10BE" w:rsidP="004C10BE">
      <w:pPr>
        <w:shd w:val="clear" w:color="auto" w:fill="FFFFFF" w:themeFill="background1"/>
        <w:rPr>
          <w:rFonts w:cs="Times New Roman"/>
        </w:rPr>
      </w:pPr>
      <w:r w:rsidRPr="00D50229">
        <w:rPr>
          <w:rFonts w:cs="Times New Roman"/>
        </w:rPr>
        <w:t>Viene, inoltre, prevista la possibilità di cumulo delle agevolazioni in esame con altre misure di aiuto, nei limiti stabiliti dalla normativa europea in materia di aiuti di Stato. Pertanto, nel caso in cui la realizzazione del programma di investimento agevolato avvenga anche attraverso l’utilizzo di un finanziamento bancario ordinario, lo stesso potrà essere assistito dalla garanzia del Fondo di garanzia per le piccole e medie imprese.</w:t>
      </w:r>
    </w:p>
    <w:p w:rsidR="004C10BE" w:rsidRPr="00D50229" w:rsidRDefault="004C10BE" w:rsidP="004C10BE">
      <w:pPr>
        <w:shd w:val="clear" w:color="auto" w:fill="FFFFFF" w:themeFill="background1"/>
        <w:rPr>
          <w:rFonts w:cs="Times New Roman"/>
        </w:rPr>
      </w:pPr>
      <w:r w:rsidRPr="00D50229">
        <w:rPr>
          <w:rFonts w:cs="Times New Roman"/>
        </w:rPr>
        <w:t>Alcune disposizioni di maggiore dettaglio sono poi rimesse ad un decreto del Ministro dello sviluppo economico, da adottare di concerto con il Ministro dell’economia e delle finanze, in linea con l’attuale assetto di competenze, con il quale verrà disposto, tra l’altro, che per le imprese di più recente costituzione e dunque per le imprese costituite da non più di 36 mesi, sia prevista l’offerta di servizi di tutoraggio e il computo, come spese ammissibili, anche della copertura dei costi iniziali di gestione, per una percentuale comunque non superiore al 20% del totale delle spese ammissibili. Si segnala che dette modifiche non incidono sulla forma dell’aiuto e sulla natura rotativa dell’intervento, per cui le agevolazioni continueranno ad essere corrisposte nella forma del finanziamento agevolato a tasso zero.</w:t>
      </w:r>
    </w:p>
    <w:p w:rsidR="004C10BE" w:rsidRPr="00D50229" w:rsidRDefault="004C10BE" w:rsidP="004C10BE">
      <w:pPr>
        <w:shd w:val="clear" w:color="auto" w:fill="FFFFFF" w:themeFill="background1"/>
        <w:rPr>
          <w:rFonts w:cs="Times New Roman"/>
        </w:rPr>
      </w:pPr>
      <w:r w:rsidRPr="00D50229">
        <w:rPr>
          <w:rFonts w:cs="Times New Roman"/>
        </w:rPr>
        <w:t xml:space="preserve">La norma, così come riformulata, consente di ampliare la platea dei soggetti beneficiari, fronteggiando le difficoltà di accesso al credito da parte di soggetti considerati maggiormente vulnerabili, come le PMI a prevalente composizione giovanile o femminile. L’aumento delle soglie temporali relative alla costituzione delle imprese, consente poi di estendere l’intervento ad imprese di recente costituzione ma già presenti sul mercato, promuovendo non solo la fase di start up dell’impresa ma anche sostenendo lo sviluppo della stessa. </w:t>
      </w:r>
    </w:p>
    <w:p w:rsidR="004C10BE" w:rsidRPr="00D50229" w:rsidRDefault="004C10BE" w:rsidP="004C10BE">
      <w:pPr>
        <w:shd w:val="clear" w:color="auto" w:fill="FFFFFF" w:themeFill="background1"/>
        <w:rPr>
          <w:rFonts w:cs="Times New Roman"/>
        </w:rPr>
      </w:pPr>
      <w:r w:rsidRPr="00D50229">
        <w:rPr>
          <w:rFonts w:cs="Times New Roman"/>
        </w:rPr>
        <w:t>La disciplina in questione andrà a sostituire le vigenti disposizioni attuative, già adottate, per l’attuazione della misura.</w:t>
      </w:r>
    </w:p>
    <w:p w:rsidR="004C10BE" w:rsidRPr="00D50229" w:rsidRDefault="004C10BE" w:rsidP="004C10BE">
      <w:pPr>
        <w:shd w:val="clear" w:color="auto" w:fill="FFFFFF" w:themeFill="background1"/>
        <w:rPr>
          <w:rFonts w:cs="Times New Roman"/>
        </w:rPr>
      </w:pPr>
    </w:p>
    <w:p w:rsidR="004C10BE" w:rsidRPr="00D50229" w:rsidRDefault="004C10BE" w:rsidP="004C10BE">
      <w:pPr>
        <w:shd w:val="clear" w:color="auto" w:fill="FFFFFF" w:themeFill="background1"/>
        <w:tabs>
          <w:tab w:val="left" w:pos="5880"/>
        </w:tabs>
        <w:rPr>
          <w:rFonts w:cs="Times New Roman"/>
          <w:b/>
          <w:i/>
        </w:rPr>
      </w:pPr>
      <w:r w:rsidRPr="00D50229">
        <w:rPr>
          <w:rFonts w:cs="Times New Roman"/>
          <w:b/>
          <w:i/>
        </w:rPr>
        <w:t>Relazione tecnica commi 1 e 2 (Nuove imprese a tasso zero)</w:t>
      </w:r>
    </w:p>
    <w:p w:rsidR="004C10BE" w:rsidRPr="00D50229" w:rsidRDefault="004C10BE" w:rsidP="004C10BE">
      <w:pPr>
        <w:shd w:val="clear" w:color="auto" w:fill="FFFFFF" w:themeFill="background1"/>
        <w:rPr>
          <w:rFonts w:cs="Times New Roman"/>
        </w:rPr>
      </w:pPr>
      <w:r w:rsidRPr="00D50229">
        <w:rPr>
          <w:rFonts w:cs="Times New Roman"/>
        </w:rPr>
        <w:t>La norma non determina nuovi oneri per la finanza pubblica, trattandosi di modifiche strutturali relative al funzionamento della misura, che intervengono a dotazione finanziaria invariata e la cui consistenza risulta adeguata all’intervento proposto.</w:t>
      </w:r>
    </w:p>
    <w:p w:rsidR="004C10BE" w:rsidRPr="00D50229" w:rsidRDefault="004C10BE" w:rsidP="004C10BE">
      <w:pPr>
        <w:pStyle w:val="xmsonormal"/>
        <w:shd w:val="clear" w:color="auto" w:fill="FFFFFF" w:themeFill="background1"/>
        <w:spacing w:before="0" w:beforeAutospacing="0" w:after="0" w:afterAutospacing="0"/>
        <w:jc w:val="both"/>
        <w:rPr>
          <w:sz w:val="22"/>
          <w:szCs w:val="22"/>
        </w:rPr>
      </w:pPr>
      <w:r w:rsidRPr="00D50229">
        <w:rPr>
          <w:rFonts w:eastAsiaTheme="minorHAnsi"/>
          <w:color w:val="000000" w:themeColor="text1"/>
          <w:sz w:val="22"/>
          <w:szCs w:val="22"/>
          <w:lang w:eastAsia="en-US"/>
        </w:rPr>
        <w:t xml:space="preserve">In particolare, e fermo restando il carattere rotativo dell’intervento, a fronte di una dotazione complessiva stanziata nel periodo 2015- 2018 pari a 320 milioni di euro a valere su diverse fonti di copertura (disponibilità iniziali, vale a dire all’avvio dell’operatività della misura nel 2015, del fondo rotativo previsto per gli interventi di cui al decreto legislativo 185/00 e relativi rientri dei mutui, cui si sommano gli stanziamenti della legge di stabilità 2017 nonché le risorse liberate del PON SIL 2000/2006 e del PAC Campania), risultano all’attualità impegnate risorse per 103 milioni di euro, con una disponibilità al presente di circa 217 milioni di euro. </w:t>
      </w:r>
    </w:p>
    <w:p w:rsidR="004C10BE" w:rsidRPr="00D50229" w:rsidRDefault="004C10BE" w:rsidP="004C10BE">
      <w:pPr>
        <w:pStyle w:val="xmsonormal"/>
        <w:shd w:val="clear" w:color="auto" w:fill="FFFFFF" w:themeFill="background1"/>
        <w:spacing w:before="0" w:beforeAutospacing="0" w:after="0" w:afterAutospacing="0"/>
        <w:jc w:val="both"/>
        <w:rPr>
          <w:sz w:val="22"/>
          <w:szCs w:val="22"/>
        </w:rPr>
      </w:pPr>
    </w:p>
    <w:p w:rsidR="004C10BE" w:rsidRPr="00D50229" w:rsidRDefault="004C10BE" w:rsidP="004C10BE">
      <w:pPr>
        <w:shd w:val="clear" w:color="auto" w:fill="FFFFFF" w:themeFill="background1"/>
        <w:rPr>
          <w:rFonts w:cs="Times New Roman"/>
          <w:b/>
          <w:i/>
        </w:rPr>
      </w:pPr>
      <w:r w:rsidRPr="00D50229">
        <w:rPr>
          <w:rFonts w:cs="Times New Roman"/>
          <w:b/>
          <w:i/>
        </w:rPr>
        <w:t>Relazione illustrativa commi 3 e 4 (Smart&amp;Start Italia)</w:t>
      </w:r>
    </w:p>
    <w:p w:rsidR="004C10BE" w:rsidRPr="00D50229" w:rsidRDefault="004C10BE" w:rsidP="004C10BE">
      <w:pPr>
        <w:shd w:val="clear" w:color="auto" w:fill="FFFFFF" w:themeFill="background1"/>
        <w:rPr>
          <w:rFonts w:cs="Times New Roman"/>
        </w:rPr>
      </w:pPr>
      <w:r w:rsidRPr="00D50229">
        <w:rPr>
          <w:rFonts w:cs="Times New Roman"/>
        </w:rPr>
        <w:t>La norma autorizza il Ministero dello sviluppo economico a provvedere con decreto alla revisione della disciplina dettata per gli interventi per le aree di crisi industriale agevolati ai sensi alla legge 181/89 e a quella relativa alla misura “Smart&amp;Start Italia” destinata alle start-up innovative di cui al decreto del Ministro dello sviluppo economico 24 settembre 2014.</w:t>
      </w:r>
    </w:p>
    <w:p w:rsidR="004C10BE" w:rsidRPr="00D50229" w:rsidRDefault="004C10BE" w:rsidP="004C10BE">
      <w:pPr>
        <w:shd w:val="clear" w:color="auto" w:fill="FFFFFF" w:themeFill="background1"/>
        <w:rPr>
          <w:rFonts w:cs="Times New Roman"/>
        </w:rPr>
      </w:pPr>
      <w:r w:rsidRPr="00D50229">
        <w:rPr>
          <w:rFonts w:cs="Times New Roman"/>
        </w:rPr>
        <w:t>Si tratta in entrambi i casi di misure che rispondono a finalità strategiche di sostegno al tessuto imprenditoriale e che, tuttavia, necessitano di un intervento di rafforzamento volto a consentirne un utilizzo più diffuso da parte delle imprese ed una maggiore efficacia, anche in termini di alleggerimento degli oneri gravanti sulle stesse imprese beneficiarie, che, soprattutto nell’attuale congiuntura economica, scontano il peso di maglie troppo ristrette per l’accesso agli strumenti e di un sostegno finanziario insufficiente a fronte degli oneri a loro carico.</w:t>
      </w:r>
    </w:p>
    <w:p w:rsidR="004C10BE" w:rsidRPr="00D50229" w:rsidRDefault="004C10BE" w:rsidP="004C10BE">
      <w:pPr>
        <w:shd w:val="clear" w:color="auto" w:fill="FFFFFF" w:themeFill="background1"/>
        <w:rPr>
          <w:rFonts w:cs="Times New Roman"/>
        </w:rPr>
      </w:pPr>
      <w:r w:rsidRPr="00D50229">
        <w:rPr>
          <w:rFonts w:cs="Times New Roman"/>
        </w:rPr>
        <w:t>Al fine, pertanto, di rendere più efficace il sostegno pubblico nel contesto delle due misure, la norma detta al comma 4 i criteri cui deve essere improntata l’opera di revisione, che, in linea con le finalità perseguite dalle norme del presente decreto-legge dedicate agli strumenti di incentivo alle imprese, richiedono una semplificazione e accelerazione delle procedure, anche attraverso l’aggiornamento delle modalità di valutazione delle iniziative e di rendicontazione delle spese sostenute dai beneficiari e l’individuazione di modalità di intervento idonee a consentire, tra l’altro, l’ampia partecipazione dei soggetti interessati.</w:t>
      </w:r>
    </w:p>
    <w:p w:rsidR="004C10BE" w:rsidRPr="00D50229" w:rsidRDefault="004C10BE" w:rsidP="004C10BE">
      <w:pPr>
        <w:shd w:val="clear" w:color="auto" w:fill="FFFFFF" w:themeFill="background1"/>
        <w:rPr>
          <w:rFonts w:cs="Times New Roman"/>
        </w:rPr>
      </w:pPr>
      <w:r w:rsidRPr="00D50229">
        <w:rPr>
          <w:rFonts w:cs="Times New Roman"/>
        </w:rPr>
        <w:t xml:space="preserve">Tra le principali criticità delle due misure vi è infatti l’eccessiva articolazione delle procedure, degli adempimenti amministrativi necessari e dei criteri di valutazione delle domande. </w:t>
      </w:r>
    </w:p>
    <w:p w:rsidR="004C10BE" w:rsidRPr="00D50229" w:rsidRDefault="004C10BE" w:rsidP="004C10BE">
      <w:pPr>
        <w:shd w:val="clear" w:color="auto" w:fill="FFFFFF" w:themeFill="background1"/>
        <w:kinsoku w:val="0"/>
        <w:overflowPunct w:val="0"/>
        <w:textAlignment w:val="baseline"/>
        <w:rPr>
          <w:rFonts w:cs="Times New Roman"/>
        </w:rPr>
      </w:pPr>
      <w:r w:rsidRPr="00D50229">
        <w:rPr>
          <w:rFonts w:cs="Times New Roman"/>
        </w:rPr>
        <w:t xml:space="preserve">Nel caso degli interventi agevolati ai sensi della legge n. 181/89, si registra, in particolare, una particolare articolazione delle procedure e degli adempimenti amministrativi necessari per l’ottenimento delle agevolazioni oltre che un limitato </w:t>
      </w:r>
      <w:r w:rsidRPr="00D50229">
        <w:rPr>
          <w:rFonts w:cs="Times New Roman"/>
          <w:i/>
        </w:rPr>
        <w:t>appeal</w:t>
      </w:r>
      <w:r w:rsidRPr="00D50229">
        <w:rPr>
          <w:rFonts w:cs="Times New Roman"/>
        </w:rPr>
        <w:t xml:space="preserve"> della misura (specialmente nelle aree del centro-nord) a causa della preponderanza del finanziamento agevolato rispetto al fondo perduto, cui si aggiunge la difficoltà dei proponenti (essenzialmente PMI) di far fronte agli impegni finanziari richiesti </w:t>
      </w:r>
    </w:p>
    <w:p w:rsidR="004C10BE" w:rsidRPr="00D50229" w:rsidRDefault="004C10BE" w:rsidP="004C10BE">
      <w:pPr>
        <w:shd w:val="clear" w:color="auto" w:fill="FFFFFF" w:themeFill="background1"/>
        <w:kinsoku w:val="0"/>
        <w:overflowPunct w:val="0"/>
        <w:textAlignment w:val="baseline"/>
        <w:rPr>
          <w:rFonts w:cs="Times New Roman"/>
        </w:rPr>
      </w:pPr>
      <w:r w:rsidRPr="00D50229">
        <w:rPr>
          <w:rFonts w:cs="Times New Roman"/>
        </w:rPr>
        <w:t>Attraverso la semplificazione dell’iter agevolativo e una revisione del mix di agevolazioni concedibili, accompagnate da una più mirata attività di coinvolgimento degli enti territoriali (regioni, province, comuni, locali associazioni di categoria, etc.) e dei sistemi locali del credito, potrà garantirsi un’accelerazione dei tempi di attuazione delle iniziative e un aumento dell’efficacia generalizzata della misura, che potrà consentire anche una maggiore condivisione dei risultati con il territorio ed i suoi attori di riferimento.</w:t>
      </w:r>
    </w:p>
    <w:p w:rsidR="004C10BE" w:rsidRPr="00D50229" w:rsidRDefault="004C10BE" w:rsidP="004C10BE">
      <w:pPr>
        <w:shd w:val="clear" w:color="auto" w:fill="FFFFFF" w:themeFill="background1"/>
        <w:kinsoku w:val="0"/>
        <w:overflowPunct w:val="0"/>
        <w:textAlignment w:val="baseline"/>
        <w:rPr>
          <w:rFonts w:cs="Times New Roman"/>
        </w:rPr>
      </w:pPr>
      <w:r w:rsidRPr="00D50229">
        <w:rPr>
          <w:rFonts w:cs="Times New Roman"/>
        </w:rPr>
        <w:t>Nel caso della misura Smart&amp;Start Italia, l’intervento di semplificazione consentirà di porre rimedio all’eccessiva declinazione dei criteri di valutazione delle domande, rispetto all’esigenza di focalizzazione sull’effettiva validità dei progetti e sarà volto a limitare gli oneri amministrativi della misura mutuati da misure agevolative più tradizionali e poco aderenti all’obiettivo del sostegno alle delle start-up innovative. In tale contesto potrà anche provvedersi ad una revisione in un’ottica di ampliamento dei costi ammissibili, in grado di cogliere alcune difficoltà strutturali del target di imprese beneficiarie dell’intervento (ad esempio, includendo i costi del personale interno per attività di progettazione e sviluppo svolte internamente e la previsione di una percentuale accessoria di costi di gestione, non soggetti a rendicontazione analitica, per soddisfare il fabbisogno di circolante delle start-up).</w:t>
      </w:r>
    </w:p>
    <w:p w:rsidR="004C10BE" w:rsidRPr="00D50229" w:rsidRDefault="004C10BE" w:rsidP="004C10BE">
      <w:pPr>
        <w:shd w:val="clear" w:color="auto" w:fill="FFFFFF" w:themeFill="background1"/>
        <w:kinsoku w:val="0"/>
        <w:overflowPunct w:val="0"/>
        <w:textAlignment w:val="baseline"/>
        <w:rPr>
          <w:rFonts w:cs="Times New Roman"/>
        </w:rPr>
      </w:pPr>
      <w:r w:rsidRPr="00D50229">
        <w:rPr>
          <w:rFonts w:cs="Times New Roman"/>
        </w:rPr>
        <w:t>L’efficientamento delle procedure istruttorie, di rendicontazione e di erogazione consentirà una maggiore attenzione alla valutazione complessiva del progetto e all’effettiva realizzazione dello stesso, evitando, ove non richiesto dalla normativa applicabile, una eccessiva rappresentazione analitica dei costi di gestione, in coerenza con le finalità degli aiuti alle nuove imprese di cui all’art. 22 del regolamento UE 651/2014 GBER.</w:t>
      </w:r>
    </w:p>
    <w:p w:rsidR="004C10BE" w:rsidRPr="00D50229" w:rsidRDefault="004C10BE" w:rsidP="004C10BE">
      <w:pPr>
        <w:shd w:val="clear" w:color="auto" w:fill="FFFFFF" w:themeFill="background1"/>
        <w:rPr>
          <w:rFonts w:cs="Times New Roman"/>
        </w:rPr>
      </w:pPr>
    </w:p>
    <w:p w:rsidR="004C10BE" w:rsidRPr="00D50229" w:rsidRDefault="004C10BE" w:rsidP="004C10BE">
      <w:pPr>
        <w:shd w:val="clear" w:color="auto" w:fill="FFFFFF" w:themeFill="background1"/>
        <w:rPr>
          <w:rFonts w:cs="Times New Roman"/>
          <w:i/>
        </w:rPr>
      </w:pPr>
      <w:r w:rsidRPr="00D50229">
        <w:rPr>
          <w:rFonts w:cs="Times New Roman"/>
          <w:b/>
          <w:i/>
        </w:rPr>
        <w:t>Relazione tecnica commi 3 e 4 (Smart&amp;Start Italia e L. 181/89)</w:t>
      </w:r>
    </w:p>
    <w:p w:rsidR="004C10BE" w:rsidRPr="00D50229" w:rsidRDefault="004C10BE" w:rsidP="004C10BE">
      <w:pPr>
        <w:pStyle w:val="xmsonormal"/>
        <w:shd w:val="clear" w:color="auto" w:fill="FFFFFF" w:themeFill="background1"/>
        <w:spacing w:before="0" w:beforeAutospacing="0" w:after="0" w:afterAutospacing="0"/>
        <w:jc w:val="both"/>
        <w:rPr>
          <w:sz w:val="22"/>
          <w:szCs w:val="22"/>
        </w:rPr>
      </w:pPr>
      <w:r w:rsidRPr="00D50229">
        <w:rPr>
          <w:sz w:val="22"/>
          <w:szCs w:val="22"/>
        </w:rPr>
        <w:t>La norma non determina nuovi oneri per la finanza pubblica, trattandosi di modifiche strutturali relative al funzionamento delle misure, che intervengono a dotazione finanziaria invariata.</w:t>
      </w:r>
    </w:p>
    <w:p w:rsidR="004C10BE" w:rsidRPr="00D50229" w:rsidRDefault="004C10BE" w:rsidP="004C10BE">
      <w:pPr>
        <w:pStyle w:val="xmsonormal"/>
        <w:shd w:val="clear" w:color="auto" w:fill="FFFFFF" w:themeFill="background1"/>
        <w:spacing w:before="0" w:beforeAutospacing="0" w:after="0" w:afterAutospacing="0"/>
        <w:jc w:val="both"/>
        <w:rPr>
          <w:sz w:val="22"/>
          <w:szCs w:val="22"/>
        </w:rPr>
      </w:pPr>
      <w:r w:rsidRPr="00D50229">
        <w:rPr>
          <w:sz w:val="22"/>
          <w:szCs w:val="22"/>
        </w:rPr>
        <w:t>Entrambe le misure presentano adeguate disponibilità.</w:t>
      </w:r>
    </w:p>
    <w:p w:rsidR="004C10BE" w:rsidRPr="00D50229" w:rsidRDefault="004C10BE" w:rsidP="004C10BE">
      <w:pPr>
        <w:pStyle w:val="xmsonormal"/>
        <w:shd w:val="clear" w:color="auto" w:fill="FFFFFF" w:themeFill="background1"/>
        <w:spacing w:before="0" w:beforeAutospacing="0" w:after="0" w:afterAutospacing="0"/>
        <w:jc w:val="both"/>
        <w:rPr>
          <w:sz w:val="22"/>
          <w:szCs w:val="22"/>
        </w:rPr>
      </w:pPr>
      <w:r w:rsidRPr="00D50229">
        <w:rPr>
          <w:sz w:val="22"/>
          <w:szCs w:val="22"/>
        </w:rPr>
        <w:t>In particolare, per la misura Smart&amp;Start Italia, a fronte di una dotazione complessiva stanziata nel periodo 2015- 2018 pari a 274,8 milioni di euro a valere su diverse fonti di copertura (PON Imprese e Competitività, risorse liberate PON SIL 2000/2006, Fondo Crescita sostenibile e legge di stabilità 2017), risultano all’attualità impegnate risorse per 170,4 milioni di euro, con una disponibilità al presente di circa 104,4 milioni di euro. Anche detto strumento ha, peraltro, carattere rotativo, fatta salva una parte residuale di intervento a fondo perduto solo per il Sud</w:t>
      </w:r>
    </w:p>
    <w:p w:rsidR="004C10BE" w:rsidRPr="00D50229" w:rsidRDefault="004C10BE" w:rsidP="004C10BE">
      <w:pPr>
        <w:shd w:val="clear" w:color="auto" w:fill="FFFFFF" w:themeFill="background1"/>
        <w:rPr>
          <w:rFonts w:eastAsia="Times New Roman" w:cs="Times New Roman"/>
          <w:color w:val="auto"/>
          <w:lang w:eastAsia="it-IT"/>
        </w:rPr>
      </w:pPr>
      <w:r w:rsidRPr="00D50229">
        <w:rPr>
          <w:rFonts w:eastAsia="Times New Roman" w:cs="Times New Roman"/>
          <w:color w:val="auto"/>
          <w:lang w:eastAsia="it-IT"/>
        </w:rPr>
        <w:t>Per quanto concerne gli interventi ai sensi della legge 181 del 1989 nelle aree di crisi industriale complessa (aree CIC) e non complessa (aree CINC), essi attualmente, trovano copertura finanziaria a valere su varie fonti finanziarie (nazionali, comunitarie e regionali). Complessivamente, ad oggi, le risorse destinate all’attuazione degli interventi in argomento ammontano ad euro 721.872.867,40, così suddivisi per tipologia di intervento.</w:t>
      </w:r>
    </w:p>
    <w:p w:rsidR="004C10BE" w:rsidRPr="00D50229" w:rsidRDefault="004C10BE" w:rsidP="004C10BE">
      <w:pPr>
        <w:shd w:val="clear" w:color="auto" w:fill="FFFFFF" w:themeFill="background1"/>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52"/>
        <w:gridCol w:w="2367"/>
      </w:tblGrid>
      <w:tr w:rsidR="004C10BE" w:rsidRPr="00386E61" w:rsidTr="00812AD2">
        <w:trPr>
          <w:trHeight w:val="300"/>
        </w:trPr>
        <w:tc>
          <w:tcPr>
            <w:tcW w:w="3807" w:type="pct"/>
            <w:shd w:val="clear" w:color="auto" w:fill="DEEAF6" w:themeFill="accent1" w:themeFillTint="33"/>
            <w:noWrap/>
            <w:vAlign w:val="center"/>
            <w:hideMark/>
          </w:tcPr>
          <w:p w:rsidR="004C10BE" w:rsidRPr="00D50229" w:rsidRDefault="004C10BE" w:rsidP="00812AD2">
            <w:pPr>
              <w:shd w:val="clear" w:color="auto" w:fill="FFFFFF" w:themeFill="background1"/>
              <w:jc w:val="center"/>
              <w:rPr>
                <w:rFonts w:eastAsia="Times New Roman" w:cs="Times New Roman"/>
                <w:b/>
                <w:color w:val="000000"/>
                <w:lang w:eastAsia="it-IT"/>
              </w:rPr>
            </w:pPr>
            <w:r w:rsidRPr="00D50229">
              <w:rPr>
                <w:rFonts w:eastAsia="Times New Roman" w:cs="Times New Roman"/>
                <w:b/>
                <w:color w:val="000000"/>
                <w:lang w:eastAsia="it-IT"/>
              </w:rPr>
              <w:t>Intervento</w:t>
            </w:r>
          </w:p>
        </w:tc>
        <w:tc>
          <w:tcPr>
            <w:tcW w:w="1193" w:type="pct"/>
            <w:shd w:val="clear" w:color="auto" w:fill="DEEAF6" w:themeFill="accent1" w:themeFillTint="33"/>
            <w:noWrap/>
            <w:vAlign w:val="center"/>
            <w:hideMark/>
          </w:tcPr>
          <w:p w:rsidR="004C10BE" w:rsidRPr="00D50229" w:rsidRDefault="004C10BE" w:rsidP="00812AD2">
            <w:pPr>
              <w:shd w:val="clear" w:color="auto" w:fill="FFFFFF" w:themeFill="background1"/>
              <w:jc w:val="center"/>
              <w:rPr>
                <w:rFonts w:eastAsia="Times New Roman" w:cs="Times New Roman"/>
                <w:b/>
                <w:color w:val="000000"/>
                <w:lang w:eastAsia="it-IT"/>
              </w:rPr>
            </w:pPr>
            <w:r w:rsidRPr="00D50229">
              <w:rPr>
                <w:rFonts w:eastAsia="Times New Roman" w:cs="Times New Roman"/>
                <w:b/>
                <w:color w:val="000000"/>
                <w:lang w:eastAsia="it-IT"/>
              </w:rPr>
              <w:t>Importo</w:t>
            </w:r>
          </w:p>
        </w:tc>
      </w:tr>
      <w:tr w:rsidR="004C10BE" w:rsidRPr="00386E61" w:rsidTr="00812AD2">
        <w:trPr>
          <w:trHeight w:val="300"/>
        </w:trPr>
        <w:tc>
          <w:tcPr>
            <w:tcW w:w="3807" w:type="pct"/>
            <w:shd w:val="clear" w:color="auto" w:fill="auto"/>
            <w:noWrap/>
            <w:vAlign w:val="bottom"/>
            <w:hideMark/>
          </w:tcPr>
          <w:p w:rsidR="004C10BE" w:rsidRPr="00D50229" w:rsidRDefault="004C10BE" w:rsidP="00812AD2">
            <w:pPr>
              <w:shd w:val="clear" w:color="auto" w:fill="FFFFFF" w:themeFill="background1"/>
              <w:rPr>
                <w:rFonts w:eastAsia="Times New Roman" w:cs="Times New Roman"/>
                <w:color w:val="000000"/>
                <w:lang w:eastAsia="it-IT"/>
              </w:rPr>
            </w:pPr>
            <w:r w:rsidRPr="00D50229">
              <w:rPr>
                <w:rFonts w:eastAsia="Times New Roman" w:cs="Times New Roman"/>
                <w:color w:val="000000"/>
                <w:lang w:eastAsia="it-IT"/>
              </w:rPr>
              <w:t>Interventi in aree di crisi industriale complessa</w:t>
            </w:r>
          </w:p>
        </w:tc>
        <w:tc>
          <w:tcPr>
            <w:tcW w:w="1193" w:type="pct"/>
            <w:shd w:val="clear" w:color="auto" w:fill="auto"/>
            <w:noWrap/>
            <w:vAlign w:val="center"/>
            <w:hideMark/>
          </w:tcPr>
          <w:p w:rsidR="004C10BE" w:rsidRPr="00D50229" w:rsidRDefault="004C10BE" w:rsidP="00812AD2">
            <w:pPr>
              <w:shd w:val="clear" w:color="auto" w:fill="FFFFFF" w:themeFill="background1"/>
              <w:jc w:val="center"/>
              <w:rPr>
                <w:rFonts w:eastAsia="Times New Roman" w:cs="Times New Roman"/>
                <w:color w:val="000000"/>
                <w:lang w:eastAsia="it-IT"/>
              </w:rPr>
            </w:pPr>
            <w:r w:rsidRPr="00D50229">
              <w:rPr>
                <w:rFonts w:eastAsia="Times New Roman" w:cs="Times New Roman"/>
                <w:color w:val="000000"/>
                <w:lang w:eastAsia="it-IT"/>
              </w:rPr>
              <w:t>283.000.000,00 €</w:t>
            </w:r>
          </w:p>
        </w:tc>
      </w:tr>
      <w:tr w:rsidR="004C10BE" w:rsidRPr="00386E61" w:rsidTr="00812AD2">
        <w:trPr>
          <w:trHeight w:val="300"/>
        </w:trPr>
        <w:tc>
          <w:tcPr>
            <w:tcW w:w="3807" w:type="pct"/>
            <w:shd w:val="clear" w:color="auto" w:fill="auto"/>
            <w:noWrap/>
            <w:vAlign w:val="bottom"/>
            <w:hideMark/>
          </w:tcPr>
          <w:p w:rsidR="004C10BE" w:rsidRPr="00D50229" w:rsidRDefault="004C10BE" w:rsidP="00812AD2">
            <w:pPr>
              <w:shd w:val="clear" w:color="auto" w:fill="FFFFFF" w:themeFill="background1"/>
              <w:rPr>
                <w:rFonts w:eastAsia="Times New Roman" w:cs="Times New Roman"/>
                <w:color w:val="000000"/>
                <w:lang w:eastAsia="it-IT"/>
              </w:rPr>
            </w:pPr>
            <w:r w:rsidRPr="00D50229">
              <w:rPr>
                <w:rFonts w:eastAsia="Times New Roman" w:cs="Times New Roman"/>
                <w:color w:val="000000"/>
                <w:lang w:eastAsia="it-IT"/>
              </w:rPr>
              <w:t>Interventi in aree di crisi industriale non complessa</w:t>
            </w:r>
          </w:p>
        </w:tc>
        <w:tc>
          <w:tcPr>
            <w:tcW w:w="1193" w:type="pct"/>
            <w:shd w:val="clear" w:color="auto" w:fill="auto"/>
            <w:noWrap/>
            <w:vAlign w:val="center"/>
            <w:hideMark/>
          </w:tcPr>
          <w:p w:rsidR="004C10BE" w:rsidRPr="00D50229" w:rsidRDefault="004C10BE" w:rsidP="00812AD2">
            <w:pPr>
              <w:shd w:val="clear" w:color="auto" w:fill="FFFFFF" w:themeFill="background1"/>
              <w:jc w:val="center"/>
              <w:rPr>
                <w:rFonts w:eastAsia="Times New Roman" w:cs="Times New Roman"/>
                <w:color w:val="000000"/>
                <w:lang w:eastAsia="it-IT"/>
              </w:rPr>
            </w:pPr>
            <w:r w:rsidRPr="00D50229">
              <w:rPr>
                <w:rFonts w:eastAsia="Times New Roman" w:cs="Times New Roman"/>
                <w:color w:val="000000"/>
                <w:lang w:eastAsia="it-IT"/>
              </w:rPr>
              <w:t>375.872.867,40 €</w:t>
            </w:r>
          </w:p>
        </w:tc>
      </w:tr>
      <w:tr w:rsidR="004C10BE" w:rsidRPr="00386E61" w:rsidTr="00812AD2">
        <w:trPr>
          <w:trHeight w:val="300"/>
        </w:trPr>
        <w:tc>
          <w:tcPr>
            <w:tcW w:w="3807" w:type="pct"/>
            <w:shd w:val="clear" w:color="auto" w:fill="auto"/>
            <w:noWrap/>
            <w:vAlign w:val="bottom"/>
            <w:hideMark/>
          </w:tcPr>
          <w:p w:rsidR="004C10BE" w:rsidRPr="00D50229" w:rsidRDefault="004C10BE" w:rsidP="00812AD2">
            <w:pPr>
              <w:shd w:val="clear" w:color="auto" w:fill="FFFFFF" w:themeFill="background1"/>
              <w:rPr>
                <w:rFonts w:eastAsia="Times New Roman" w:cs="Times New Roman"/>
                <w:color w:val="000000"/>
                <w:lang w:eastAsia="it-IT"/>
              </w:rPr>
            </w:pPr>
            <w:r w:rsidRPr="00D50229">
              <w:rPr>
                <w:rFonts w:eastAsia="Times New Roman" w:cs="Times New Roman"/>
                <w:color w:val="000000"/>
                <w:lang w:eastAsia="it-IT"/>
              </w:rPr>
              <w:t>Interventi area terremoto Abruzzo – Lazio – Marche – Umbria</w:t>
            </w:r>
          </w:p>
        </w:tc>
        <w:tc>
          <w:tcPr>
            <w:tcW w:w="1193" w:type="pct"/>
            <w:shd w:val="clear" w:color="auto" w:fill="auto"/>
            <w:noWrap/>
            <w:vAlign w:val="center"/>
            <w:hideMark/>
          </w:tcPr>
          <w:p w:rsidR="004C10BE" w:rsidRPr="00D50229" w:rsidRDefault="004C10BE" w:rsidP="00812AD2">
            <w:pPr>
              <w:shd w:val="clear" w:color="auto" w:fill="FFFFFF" w:themeFill="background1"/>
              <w:jc w:val="center"/>
              <w:rPr>
                <w:rFonts w:eastAsia="Times New Roman" w:cs="Times New Roman"/>
                <w:color w:val="000000"/>
                <w:lang w:eastAsia="it-IT"/>
              </w:rPr>
            </w:pPr>
            <w:r w:rsidRPr="00D50229">
              <w:rPr>
                <w:rFonts w:eastAsia="Times New Roman" w:cs="Times New Roman"/>
                <w:color w:val="000000"/>
                <w:lang w:eastAsia="it-IT"/>
              </w:rPr>
              <w:t>48.000.000,00 €</w:t>
            </w:r>
          </w:p>
        </w:tc>
      </w:tr>
      <w:tr w:rsidR="004C10BE" w:rsidRPr="00386E61" w:rsidTr="00812AD2">
        <w:trPr>
          <w:trHeight w:val="300"/>
        </w:trPr>
        <w:tc>
          <w:tcPr>
            <w:tcW w:w="3807" w:type="pct"/>
            <w:shd w:val="clear" w:color="auto" w:fill="auto"/>
            <w:noWrap/>
            <w:vAlign w:val="bottom"/>
            <w:hideMark/>
          </w:tcPr>
          <w:p w:rsidR="004C10BE" w:rsidRPr="00D50229" w:rsidRDefault="004C10BE" w:rsidP="00812AD2">
            <w:pPr>
              <w:shd w:val="clear" w:color="auto" w:fill="FFFFFF" w:themeFill="background1"/>
              <w:rPr>
                <w:rFonts w:eastAsia="Times New Roman" w:cs="Times New Roman"/>
                <w:color w:val="000000"/>
                <w:lang w:eastAsia="it-IT"/>
              </w:rPr>
            </w:pPr>
            <w:r w:rsidRPr="00D50229">
              <w:rPr>
                <w:rFonts w:eastAsia="Times New Roman" w:cs="Times New Roman"/>
                <w:color w:val="000000"/>
                <w:lang w:eastAsia="it-IT"/>
              </w:rPr>
              <w:t>Programma “</w:t>
            </w:r>
            <w:r w:rsidRPr="00D50229">
              <w:rPr>
                <w:rFonts w:eastAsia="Times New Roman" w:cs="Times New Roman"/>
                <w:i/>
                <w:color w:val="000000"/>
                <w:lang w:eastAsia="it-IT"/>
              </w:rPr>
              <w:t>Restart Abruzzo</w:t>
            </w:r>
            <w:r w:rsidRPr="00D50229">
              <w:rPr>
                <w:rFonts w:eastAsia="Times New Roman" w:cs="Times New Roman"/>
                <w:color w:val="000000"/>
                <w:lang w:eastAsia="it-IT"/>
              </w:rPr>
              <w:t>” (Programma di sviluppo per l’area del cratere sismico della regione Abruzzo di cui alla delibera CIPE del 10 agosto 2016, n. 49/2016)</w:t>
            </w:r>
          </w:p>
        </w:tc>
        <w:tc>
          <w:tcPr>
            <w:tcW w:w="1193" w:type="pct"/>
            <w:shd w:val="clear" w:color="auto" w:fill="auto"/>
            <w:noWrap/>
            <w:vAlign w:val="center"/>
            <w:hideMark/>
          </w:tcPr>
          <w:p w:rsidR="004C10BE" w:rsidRPr="00D50229" w:rsidRDefault="004C10BE" w:rsidP="00812AD2">
            <w:pPr>
              <w:shd w:val="clear" w:color="auto" w:fill="FFFFFF" w:themeFill="background1"/>
              <w:jc w:val="center"/>
              <w:rPr>
                <w:rFonts w:eastAsia="Times New Roman" w:cs="Times New Roman"/>
                <w:color w:val="000000"/>
                <w:lang w:eastAsia="it-IT"/>
              </w:rPr>
            </w:pPr>
            <w:r w:rsidRPr="00D50229">
              <w:rPr>
                <w:rFonts w:eastAsia="Times New Roman" w:cs="Times New Roman"/>
                <w:color w:val="000000"/>
                <w:lang w:eastAsia="it-IT"/>
              </w:rPr>
              <w:t>15.000.000,00 €</w:t>
            </w:r>
          </w:p>
        </w:tc>
      </w:tr>
      <w:tr w:rsidR="004C10BE" w:rsidRPr="00386E61" w:rsidTr="00812AD2">
        <w:trPr>
          <w:trHeight w:val="300"/>
        </w:trPr>
        <w:tc>
          <w:tcPr>
            <w:tcW w:w="3807" w:type="pct"/>
            <w:shd w:val="clear" w:color="auto" w:fill="auto"/>
            <w:noWrap/>
            <w:vAlign w:val="bottom"/>
            <w:hideMark/>
          </w:tcPr>
          <w:p w:rsidR="004C10BE" w:rsidRPr="00D50229" w:rsidRDefault="004C10BE" w:rsidP="00812AD2">
            <w:pPr>
              <w:shd w:val="clear" w:color="auto" w:fill="FFFFFF" w:themeFill="background1"/>
              <w:jc w:val="right"/>
              <w:rPr>
                <w:rFonts w:eastAsia="Times New Roman" w:cs="Times New Roman"/>
                <w:b/>
                <w:i/>
                <w:color w:val="000000"/>
                <w:lang w:eastAsia="it-IT"/>
              </w:rPr>
            </w:pPr>
            <w:r w:rsidRPr="00D50229">
              <w:rPr>
                <w:rFonts w:eastAsia="Times New Roman" w:cs="Times New Roman"/>
                <w:b/>
                <w:i/>
                <w:color w:val="000000"/>
                <w:lang w:eastAsia="it-IT"/>
              </w:rPr>
              <w:t>Totale complessivo</w:t>
            </w:r>
          </w:p>
        </w:tc>
        <w:tc>
          <w:tcPr>
            <w:tcW w:w="1193" w:type="pct"/>
            <w:shd w:val="clear" w:color="auto" w:fill="auto"/>
            <w:noWrap/>
            <w:vAlign w:val="center"/>
            <w:hideMark/>
          </w:tcPr>
          <w:p w:rsidR="004C10BE" w:rsidRPr="00D50229" w:rsidRDefault="004C10BE" w:rsidP="00812AD2">
            <w:pPr>
              <w:shd w:val="clear" w:color="auto" w:fill="FFFFFF" w:themeFill="background1"/>
              <w:jc w:val="center"/>
              <w:rPr>
                <w:rFonts w:eastAsia="Times New Roman" w:cs="Times New Roman"/>
                <w:b/>
                <w:color w:val="000000"/>
                <w:lang w:eastAsia="it-IT"/>
              </w:rPr>
            </w:pPr>
            <w:r w:rsidRPr="00D50229">
              <w:rPr>
                <w:rFonts w:eastAsia="Times New Roman" w:cs="Times New Roman"/>
                <w:b/>
                <w:color w:val="000000"/>
                <w:lang w:eastAsia="it-IT"/>
              </w:rPr>
              <w:t>721.872.867,40 €</w:t>
            </w:r>
          </w:p>
        </w:tc>
      </w:tr>
    </w:tbl>
    <w:p w:rsidR="004C10BE" w:rsidRPr="00D50229" w:rsidRDefault="004C10BE" w:rsidP="004C10BE">
      <w:pPr>
        <w:shd w:val="clear" w:color="auto" w:fill="FFFFFF" w:themeFill="background1"/>
        <w:rPr>
          <w:rFonts w:cs="Times New Roman"/>
        </w:rPr>
      </w:pPr>
    </w:p>
    <w:p w:rsidR="004C10BE" w:rsidRPr="00D50229" w:rsidRDefault="004C10BE" w:rsidP="004C10BE">
      <w:pPr>
        <w:shd w:val="clear" w:color="auto" w:fill="FFFFFF" w:themeFill="background1"/>
        <w:rPr>
          <w:rFonts w:cs="Times New Roman"/>
        </w:rPr>
      </w:pPr>
      <w:r w:rsidRPr="00D50229">
        <w:rPr>
          <w:rFonts w:cs="Times New Roman"/>
        </w:rPr>
        <w:t>Dette risorse risultano in gran parte impegnate per le concessioni disposte ovvero per le istruttorie in corso, fatta salva l’assegnazione per i successivi utilizzi da ultimo disposta con la legge di bilancio per il 2019 (art. 1, commi 2014 e 205 della L. 145/2018) pari a 100 milioni per il 2019 e 50 milioni per il 2020.</w:t>
      </w:r>
    </w:p>
    <w:p w:rsidR="004C10BE" w:rsidRPr="00D50229" w:rsidRDefault="004C10BE" w:rsidP="004C10BE">
      <w:pPr>
        <w:shd w:val="clear" w:color="auto" w:fill="FFFFFF" w:themeFill="background1"/>
        <w:rPr>
          <w:rFonts w:cs="Times New Roman"/>
        </w:rPr>
      </w:pPr>
    </w:p>
    <w:p w:rsidR="004C10BE" w:rsidRPr="00D50229" w:rsidRDefault="004C10BE" w:rsidP="004C10BE">
      <w:pPr>
        <w:shd w:val="clear" w:color="auto" w:fill="FFFFFF" w:themeFill="background1"/>
        <w:rPr>
          <w:rFonts w:cs="Times New Roman"/>
          <w:b/>
          <w:i/>
        </w:rPr>
      </w:pPr>
      <w:r w:rsidRPr="00D50229">
        <w:rPr>
          <w:rFonts w:cs="Times New Roman"/>
        </w:rPr>
        <w:t xml:space="preserve"> </w:t>
      </w:r>
      <w:r w:rsidRPr="00D50229">
        <w:rPr>
          <w:rFonts w:cs="Times New Roman"/>
          <w:b/>
          <w:i/>
        </w:rPr>
        <w:t>Relazione illustrativa commi da 5 a 8 (Digital Transformation)</w:t>
      </w:r>
    </w:p>
    <w:p w:rsidR="004C10BE" w:rsidRPr="00D50229" w:rsidRDefault="004C10BE" w:rsidP="004C10BE">
      <w:pPr>
        <w:shd w:val="clear" w:color="auto" w:fill="FFFFFF" w:themeFill="background1"/>
        <w:rPr>
          <w:rFonts w:cs="Times New Roman"/>
        </w:rPr>
      </w:pPr>
      <w:r w:rsidRPr="00D50229">
        <w:rPr>
          <w:rFonts w:cs="Times New Roman"/>
        </w:rPr>
        <w:t>La trasformazione tecnologica e digitale rappresenta un’opportunità e una sfida alla quale è chiamato tutto il sistema economico italiano. Il cambiamento richiesto, non procrastinabile, è orientato al ripensamento nello stile di vita delle attività economiche alla luce delle potenzialità offerte dall’ultima ondata di tecnologie digitali.</w:t>
      </w:r>
    </w:p>
    <w:p w:rsidR="004C10BE" w:rsidRPr="00D50229" w:rsidRDefault="004C10BE" w:rsidP="004C10BE">
      <w:pPr>
        <w:shd w:val="clear" w:color="auto" w:fill="FFFFFF" w:themeFill="background1"/>
        <w:rPr>
          <w:rFonts w:cs="Times New Roman"/>
        </w:rPr>
      </w:pPr>
      <w:r w:rsidRPr="00D50229">
        <w:rPr>
          <w:rFonts w:cs="Times New Roman"/>
        </w:rPr>
        <w:t xml:space="preserve">Integrare le nuove tecnologie in tutti gli aspetti del </w:t>
      </w:r>
      <w:r w:rsidRPr="00D50229">
        <w:rPr>
          <w:rFonts w:cs="Times New Roman"/>
          <w:i/>
        </w:rPr>
        <w:t>business</w:t>
      </w:r>
      <w:r w:rsidRPr="00D50229">
        <w:rPr>
          <w:rFonts w:cs="Times New Roman"/>
        </w:rPr>
        <w:t xml:space="preserve"> aziendale permette di adattarsi a un sistema economico più flessibile, mutevole e fondato su una stretta collaborazione fra persone e unità robotiche, fra strumenti tangibili e ambienti virtuali. Per sfruttare al meglio le tecnologie emergenti e la loro rapida espansione, un’impresa deve essere in grado di reinventarsi, trasformando radicalmente tutti i suoi modelli di organizzazione e di produzione con l’effetto di creare valore per sé stessa, per i clienti, i fornitori e per tutti gli altri </w:t>
      </w:r>
      <w:r w:rsidRPr="00D50229">
        <w:rPr>
          <w:rFonts w:cs="Times New Roman"/>
          <w:i/>
        </w:rPr>
        <w:t>stakeholders</w:t>
      </w:r>
      <w:r w:rsidRPr="00D50229">
        <w:rPr>
          <w:rFonts w:cs="Times New Roman"/>
        </w:rPr>
        <w:t xml:space="preserve"> aziendali.</w:t>
      </w:r>
    </w:p>
    <w:p w:rsidR="004C10BE" w:rsidRPr="00D50229" w:rsidRDefault="004C10BE" w:rsidP="004C10BE">
      <w:pPr>
        <w:shd w:val="clear" w:color="auto" w:fill="FFFFFF" w:themeFill="background1"/>
        <w:rPr>
          <w:rFonts w:cs="Times New Roman"/>
        </w:rPr>
      </w:pPr>
      <w:r w:rsidRPr="00D50229">
        <w:rPr>
          <w:rFonts w:cs="Times New Roman"/>
        </w:rPr>
        <w:t xml:space="preserve">La trasformazione tecnologica e digitale rende tutti i processi aziendali più efficienti e le imprese in grado di ottenere un vantaggio competitivo derivante dall’aumento della produttività, dal miglioramento della qualità interna del lavoro e della qualità percepita dagli </w:t>
      </w:r>
      <w:r w:rsidRPr="00D50229">
        <w:rPr>
          <w:rFonts w:cs="Times New Roman"/>
          <w:i/>
        </w:rPr>
        <w:t>stakeholders</w:t>
      </w:r>
      <w:r w:rsidRPr="00D50229">
        <w:rPr>
          <w:rFonts w:cs="Times New Roman"/>
        </w:rPr>
        <w:t xml:space="preserve"> esterni all’impresa.</w:t>
      </w:r>
    </w:p>
    <w:p w:rsidR="004C10BE" w:rsidRPr="00D50229" w:rsidRDefault="004C10BE" w:rsidP="004C10BE">
      <w:pPr>
        <w:shd w:val="clear" w:color="auto" w:fill="FFFFFF" w:themeFill="background1"/>
        <w:rPr>
          <w:rFonts w:cs="Times New Roman"/>
        </w:rPr>
      </w:pPr>
      <w:r w:rsidRPr="00D50229">
        <w:rPr>
          <w:rFonts w:cs="Times New Roman"/>
        </w:rPr>
        <w:t xml:space="preserve">Il “Piano Nazionale Impresa 4.0”, varato dal Governo ad inizio 2017, che costituisce una specifica declinazione della Strategia nazionale di specializzazione intelligente (SNSI), rappresenta, a livello nazionale, il quadro di riferimento strategico per l’attuazione delle politiche di ricerca, sviluppo e innovazione mirate alla trasformazione tecnologica e digitale. </w:t>
      </w:r>
    </w:p>
    <w:p w:rsidR="004C10BE" w:rsidRPr="00D50229" w:rsidRDefault="004C10BE" w:rsidP="004C10BE">
      <w:pPr>
        <w:shd w:val="clear" w:color="auto" w:fill="FFFFFF" w:themeFill="background1"/>
        <w:rPr>
          <w:rFonts w:cs="Times New Roman"/>
        </w:rPr>
      </w:pPr>
      <w:r w:rsidRPr="00D50229">
        <w:rPr>
          <w:rFonts w:cs="Times New Roman"/>
        </w:rPr>
        <w:t xml:space="preserve">Le misure del Piano Impresa 4.0 sono declinate secondo quattro direttrici strategiche: </w:t>
      </w:r>
    </w:p>
    <w:p w:rsidR="004C10BE" w:rsidRPr="00D50229" w:rsidRDefault="004C10BE" w:rsidP="00826FD7">
      <w:pPr>
        <w:pStyle w:val="Paragrafoelenco"/>
        <w:numPr>
          <w:ilvl w:val="0"/>
          <w:numId w:val="21"/>
        </w:numPr>
        <w:shd w:val="clear" w:color="auto" w:fill="FFFFFF" w:themeFill="background1"/>
        <w:spacing w:after="0" w:line="240" w:lineRule="auto"/>
        <w:contextualSpacing w:val="0"/>
        <w:rPr>
          <w:rFonts w:ascii="Times New Roman" w:hAnsi="Times New Roman"/>
          <w:lang w:val="it-IT"/>
        </w:rPr>
      </w:pPr>
      <w:r w:rsidRPr="00D50229">
        <w:rPr>
          <w:rFonts w:ascii="Times New Roman" w:hAnsi="Times New Roman"/>
          <w:lang w:val="it-IT"/>
        </w:rPr>
        <w:t xml:space="preserve">investimenti innovativi: stimolare l’investimento privato nell’adozione delle tecnologie abilitanti la trasformazione tecnologica e digitale e aumentare la spese in ricerca, sviluppo e innovazione. </w:t>
      </w:r>
    </w:p>
    <w:p w:rsidR="004C10BE" w:rsidRPr="00D50229" w:rsidRDefault="004C10BE" w:rsidP="00826FD7">
      <w:pPr>
        <w:pStyle w:val="Paragrafoelenco"/>
        <w:numPr>
          <w:ilvl w:val="0"/>
          <w:numId w:val="21"/>
        </w:numPr>
        <w:shd w:val="clear" w:color="auto" w:fill="FFFFFF" w:themeFill="background1"/>
        <w:spacing w:after="0" w:line="240" w:lineRule="auto"/>
        <w:contextualSpacing w:val="0"/>
        <w:rPr>
          <w:rFonts w:ascii="Times New Roman" w:hAnsi="Times New Roman"/>
          <w:lang w:val="it-IT"/>
        </w:rPr>
      </w:pPr>
      <w:r w:rsidRPr="00D50229">
        <w:rPr>
          <w:rFonts w:ascii="Times New Roman" w:hAnsi="Times New Roman"/>
          <w:lang w:val="it-IT"/>
        </w:rPr>
        <w:t xml:space="preserve">infrastrutture abilitanti: assicurare adeguate infrastrutture di rete secondo logiche </w:t>
      </w:r>
      <w:r w:rsidRPr="00D50229">
        <w:rPr>
          <w:rFonts w:ascii="Times New Roman" w:hAnsi="Times New Roman"/>
          <w:i/>
          <w:lang w:val="it-IT"/>
        </w:rPr>
        <w:t>fiber to the factory</w:t>
      </w:r>
      <w:r w:rsidRPr="00D50229">
        <w:rPr>
          <w:rFonts w:ascii="Times New Roman" w:hAnsi="Times New Roman"/>
          <w:lang w:val="it-IT"/>
        </w:rPr>
        <w:t xml:space="preserve">, garantire la sicurezza e la protezione dei dati, collaborare alla definizione di standard di interoperabilità internazionali. </w:t>
      </w:r>
    </w:p>
    <w:p w:rsidR="004C10BE" w:rsidRPr="00D50229" w:rsidRDefault="004C10BE" w:rsidP="00826FD7">
      <w:pPr>
        <w:pStyle w:val="Paragrafoelenco"/>
        <w:numPr>
          <w:ilvl w:val="0"/>
          <w:numId w:val="21"/>
        </w:numPr>
        <w:shd w:val="clear" w:color="auto" w:fill="FFFFFF" w:themeFill="background1"/>
        <w:spacing w:after="0" w:line="240" w:lineRule="auto"/>
        <w:contextualSpacing w:val="0"/>
        <w:rPr>
          <w:rFonts w:ascii="Times New Roman" w:hAnsi="Times New Roman"/>
          <w:lang w:val="it-IT"/>
        </w:rPr>
      </w:pPr>
      <w:r w:rsidRPr="00D50229">
        <w:rPr>
          <w:rFonts w:ascii="Times New Roman" w:hAnsi="Times New Roman"/>
          <w:lang w:val="it-IT"/>
        </w:rPr>
        <w:t xml:space="preserve">competenze: creare competenze necessarie e stimolare la formazione su tematiche 4.0. </w:t>
      </w:r>
    </w:p>
    <w:p w:rsidR="004C10BE" w:rsidRPr="00D50229" w:rsidRDefault="004C10BE" w:rsidP="00826FD7">
      <w:pPr>
        <w:pStyle w:val="Paragrafoelenco"/>
        <w:numPr>
          <w:ilvl w:val="0"/>
          <w:numId w:val="21"/>
        </w:numPr>
        <w:shd w:val="clear" w:color="auto" w:fill="FFFFFF" w:themeFill="background1"/>
        <w:spacing w:after="0" w:line="240" w:lineRule="auto"/>
        <w:contextualSpacing w:val="0"/>
        <w:rPr>
          <w:rFonts w:ascii="Times New Roman" w:hAnsi="Times New Roman"/>
          <w:lang w:val="it-IT"/>
        </w:rPr>
      </w:pPr>
      <w:r w:rsidRPr="00D50229">
        <w:rPr>
          <w:rFonts w:ascii="Times New Roman" w:hAnsi="Times New Roman"/>
          <w:i/>
          <w:lang w:val="it-IT"/>
        </w:rPr>
        <w:t>awareness</w:t>
      </w:r>
      <w:r w:rsidRPr="00D50229">
        <w:rPr>
          <w:rFonts w:ascii="Times New Roman" w:hAnsi="Times New Roman"/>
          <w:lang w:val="it-IT"/>
        </w:rPr>
        <w:t xml:space="preserve"> e </w:t>
      </w:r>
      <w:r w:rsidRPr="00D50229">
        <w:rPr>
          <w:rFonts w:ascii="Times New Roman" w:hAnsi="Times New Roman"/>
          <w:i/>
          <w:lang w:val="it-IT"/>
        </w:rPr>
        <w:t>governance</w:t>
      </w:r>
      <w:r w:rsidRPr="00D50229">
        <w:rPr>
          <w:rFonts w:ascii="Times New Roman" w:hAnsi="Times New Roman"/>
          <w:lang w:val="it-IT"/>
        </w:rPr>
        <w:t xml:space="preserve">: diffondere la conoscenza, il potenziale e le applicazioni delle tecnologie Industria 4.0 e garantire una </w:t>
      </w:r>
      <w:r w:rsidRPr="00D50229">
        <w:rPr>
          <w:rFonts w:ascii="Times New Roman" w:hAnsi="Times New Roman"/>
          <w:i/>
          <w:lang w:val="it-IT"/>
        </w:rPr>
        <w:t>governance</w:t>
      </w:r>
      <w:r w:rsidRPr="00D50229">
        <w:rPr>
          <w:rFonts w:ascii="Times New Roman" w:hAnsi="Times New Roman"/>
          <w:lang w:val="it-IT"/>
        </w:rPr>
        <w:t xml:space="preserve"> pubblico-privata per il raggiungimento degli obiettivi prefissati. </w:t>
      </w:r>
    </w:p>
    <w:p w:rsidR="004C10BE" w:rsidRPr="00D50229" w:rsidRDefault="004C10BE" w:rsidP="004C10BE">
      <w:pPr>
        <w:shd w:val="clear" w:color="auto" w:fill="FFFFFF" w:themeFill="background1"/>
        <w:rPr>
          <w:rFonts w:cs="Times New Roman"/>
        </w:rPr>
      </w:pPr>
      <w:r w:rsidRPr="00D50229">
        <w:rPr>
          <w:rFonts w:cs="Times New Roman"/>
        </w:rPr>
        <w:t xml:space="preserve">La prima quantificazione di interesse, riferita alla diffusione delle tecnologie che caratterizzano il nuovo paradigma del Piano Impresa 4.0, rilevano sul totale della popolazione dell’Industria in senso stretto (indicatore di tipo </w:t>
      </w:r>
      <w:r w:rsidRPr="00D50229">
        <w:rPr>
          <w:rFonts w:cs="Times New Roman"/>
          <w:i/>
        </w:rPr>
        <w:t>proxy</w:t>
      </w:r>
      <w:r w:rsidRPr="00D50229">
        <w:rPr>
          <w:rFonts w:cs="Times New Roman"/>
        </w:rPr>
        <w:t xml:space="preserve"> sulla valutazione nei diversi settori) che l’8,4% delle imprese utilizza almeno una delle tecnologie abilitanti, a questa quota si aggiunge un ulteriore 4,7% di imprese che, anche se non coinvolte attualmente, hanno in programma investimenti specifici nel prossimo triennio. Le imprese che potremmo definire “tradizionali”, ovvero che non utilizzano tecnologie 4.0 né hanno in programma interventi futuri, rappresentano la grande maggioranza della popolazione industriale, pari all’86,9% del totale.</w:t>
      </w:r>
    </w:p>
    <w:p w:rsidR="004C10BE" w:rsidRPr="00D50229" w:rsidRDefault="004C10BE" w:rsidP="004C10BE">
      <w:pPr>
        <w:shd w:val="clear" w:color="auto" w:fill="FFFFFF" w:themeFill="background1"/>
        <w:rPr>
          <w:rFonts w:cs="Times New Roman"/>
        </w:rPr>
      </w:pPr>
      <w:r w:rsidRPr="00D50229">
        <w:rPr>
          <w:rFonts w:cs="Times New Roman"/>
        </w:rPr>
        <w:t>La proiezione futura non potrà che caratterizzarsi per una crescente propensione verso la digitalizzazione dei processi produttivi: la percentuale di imprese non ancora coinvolte che ha dichiarato di avere in programma interventi rappresenta il 4,7% delle aziende, con una proiezione di crescita futura particolarmente accentuata per le piccole (9,4%) e medie imprese (8,2%).</w:t>
      </w:r>
    </w:p>
    <w:p w:rsidR="004C10BE" w:rsidRPr="00D50229" w:rsidRDefault="004C10BE" w:rsidP="004C10BE">
      <w:pPr>
        <w:shd w:val="clear" w:color="auto" w:fill="FFFFFF" w:themeFill="background1"/>
        <w:rPr>
          <w:rFonts w:cs="Times New Roman"/>
        </w:rPr>
      </w:pPr>
      <w:r w:rsidRPr="00D50229">
        <w:rPr>
          <w:rFonts w:cs="Times New Roman"/>
        </w:rPr>
        <w:t xml:space="preserve">Naturalmente, la propensione verso queste tecnologie aumenta in maniera significativa al crescere delle dimensioni aziendali a dimostrazione dell’importante fenomeno di </w:t>
      </w:r>
      <w:r w:rsidRPr="00D50229">
        <w:rPr>
          <w:rFonts w:cs="Times New Roman"/>
          <w:i/>
        </w:rPr>
        <w:t>digital divide</w:t>
      </w:r>
      <w:r w:rsidRPr="00D50229">
        <w:rPr>
          <w:rFonts w:cs="Times New Roman"/>
        </w:rPr>
        <w:t xml:space="preserve"> tra PMI e grandi imprese; variabile rilevante che ostacola la proiezione verso la digitalizzazione dei processi produttivi è costituita dagli elevati costi di realizzazione di progetti di trasformazione tecnologica e digitale, chiaramente più onerosi da sostenere per le imprese di minor dimensione e fonte di generalizzato disinteresse all’investimento da parte degli operatori privati. </w:t>
      </w:r>
    </w:p>
    <w:p w:rsidR="004C10BE" w:rsidRPr="00D50229" w:rsidRDefault="004C10BE" w:rsidP="004C10BE">
      <w:pPr>
        <w:shd w:val="clear" w:color="auto" w:fill="FFFFFF" w:themeFill="background1"/>
        <w:rPr>
          <w:rFonts w:cs="Times New Roman"/>
        </w:rPr>
      </w:pPr>
      <w:r w:rsidRPr="00D50229">
        <w:rPr>
          <w:rFonts w:cs="Times New Roman"/>
        </w:rPr>
        <w:t>Gli strumenti di supporto, indirizzati in una logica 4.0, messi in campo dal Governo italiano, hanno mostrato efficacia realizzativa e ricadute positive sullo sviluppo economico del tessuto imprenditoriale, lasciando aperta la porta a nuove iniziative coerenti con le finalità del Piano Impresa 4.0, nonché integrate e complementari con le azioni già in essere.</w:t>
      </w:r>
    </w:p>
    <w:p w:rsidR="004C10BE" w:rsidRPr="00D50229" w:rsidRDefault="004C10BE" w:rsidP="004C10BE">
      <w:pPr>
        <w:shd w:val="clear" w:color="auto" w:fill="FFFFFF" w:themeFill="background1"/>
        <w:rPr>
          <w:rFonts w:cs="Times New Roman"/>
        </w:rPr>
      </w:pPr>
      <w:r w:rsidRPr="00D50229">
        <w:rPr>
          <w:rFonts w:cs="Times New Roman"/>
        </w:rPr>
        <w:t>La norma proposta è finalizzata a favorire, in Italia, la trasformazione tecnologica e digitale dei processi produttivi delle imprese, di micro, piccola e media dimensione in coerenza con il Piano Impresa 4.0.</w:t>
      </w:r>
    </w:p>
    <w:p w:rsidR="004C10BE" w:rsidRPr="00D50229" w:rsidRDefault="004C10BE" w:rsidP="004C10BE">
      <w:pPr>
        <w:shd w:val="clear" w:color="auto" w:fill="FFFFFF" w:themeFill="background1"/>
        <w:rPr>
          <w:rFonts w:cs="Times New Roman"/>
          <w:i/>
        </w:rPr>
      </w:pPr>
      <w:r w:rsidRPr="00D50229">
        <w:rPr>
          <w:rFonts w:cs="Times New Roman"/>
        </w:rPr>
        <w:t xml:space="preserve">L’accesso all’agevolazione è subordinata alla realizzazione di un progetto strutturato di trasformazione tecnologica e digitale che verte sull’implementazione, nei processi aziendali, delle tecnologie abilitanti individuate nel Piano Impresa 4.0 </w:t>
      </w:r>
      <w:r w:rsidRPr="00D50229">
        <w:rPr>
          <w:rFonts w:cs="Times New Roman"/>
          <w:i/>
        </w:rPr>
        <w:t>(advanced manufacturing solutions, addittive manufacturing, realtà aumentata, simulation, integrazione orizzontale e verticale, industrial internet, cloud, cybersecuruty, big data e analytics).</w:t>
      </w:r>
    </w:p>
    <w:p w:rsidR="004C10BE" w:rsidRPr="00D50229" w:rsidRDefault="004C10BE" w:rsidP="004C10BE">
      <w:pPr>
        <w:shd w:val="clear" w:color="auto" w:fill="FFFFFF" w:themeFill="background1"/>
        <w:rPr>
          <w:rFonts w:cs="Times New Roman"/>
        </w:rPr>
      </w:pPr>
      <w:r w:rsidRPr="00D50229">
        <w:rPr>
          <w:rFonts w:cs="Times New Roman"/>
        </w:rPr>
        <w:t>Le agevolazioni finanziarie previste dalla norma sono concesse nella misura massima del 50 per cento dei costi ammissibili su una spesa, sostenuta per la realizzazione del suddetto progetto, di un importo almeno pari a euro 200.000,00.</w:t>
      </w:r>
    </w:p>
    <w:p w:rsidR="004C10BE" w:rsidRPr="00D50229" w:rsidRDefault="004C10BE" w:rsidP="004C10BE">
      <w:pPr>
        <w:shd w:val="clear" w:color="auto" w:fill="FFFFFF" w:themeFill="background1"/>
        <w:rPr>
          <w:rFonts w:cs="Times New Roman"/>
        </w:rPr>
      </w:pPr>
      <w:r w:rsidRPr="00D50229">
        <w:rPr>
          <w:rFonts w:cs="Times New Roman"/>
        </w:rPr>
        <w:t xml:space="preserve">Le micro, piccole e medie imprese a cui la richiamata norma si rivolge sono quelle operanti nel settore manifatturiero e/o nel settore dei servizi diretti alle imprese manifatturiere per le quali è più marcato il necessario coinvolgimento nelle tecnologie 4.0, considerando sia le tecnologie più strettamente connesse alla produzione (robot interconnessi, manifattura additiva, simulazioni, realtà aumentata) sia quelle rappresentative dello sfruttamento intensivo di informazioni e dati (integrazione orizzontale o verticale delle informazioni, </w:t>
      </w:r>
      <w:r w:rsidRPr="00D50229">
        <w:rPr>
          <w:rFonts w:cs="Times New Roman"/>
          <w:i/>
        </w:rPr>
        <w:t>cloud</w:t>
      </w:r>
      <w:r w:rsidRPr="00D50229">
        <w:rPr>
          <w:rFonts w:cs="Times New Roman"/>
        </w:rPr>
        <w:t xml:space="preserve">, </w:t>
      </w:r>
      <w:r w:rsidRPr="00D50229">
        <w:rPr>
          <w:rFonts w:cs="Times New Roman"/>
          <w:i/>
        </w:rPr>
        <w:t>big data</w:t>
      </w:r>
      <w:r w:rsidRPr="00D50229">
        <w:rPr>
          <w:rFonts w:cs="Times New Roman"/>
        </w:rPr>
        <w:t xml:space="preserve">, </w:t>
      </w:r>
      <w:r w:rsidRPr="00D50229">
        <w:rPr>
          <w:rFonts w:cs="Times New Roman"/>
          <w:i/>
        </w:rPr>
        <w:t>analytics</w:t>
      </w:r>
      <w:r w:rsidRPr="00D50229">
        <w:rPr>
          <w:rFonts w:cs="Times New Roman"/>
        </w:rPr>
        <w:t>).</w:t>
      </w:r>
    </w:p>
    <w:p w:rsidR="004C10BE" w:rsidRPr="00D50229" w:rsidRDefault="004C10BE" w:rsidP="004C10BE">
      <w:pPr>
        <w:shd w:val="clear" w:color="auto" w:fill="FFFFFF" w:themeFill="background1"/>
        <w:rPr>
          <w:rFonts w:cs="Times New Roman"/>
        </w:rPr>
      </w:pPr>
      <w:r w:rsidRPr="00D50229">
        <w:rPr>
          <w:rFonts w:cs="Times New Roman"/>
        </w:rPr>
        <w:t>L’adozione del criterio di selezione dei beneficiari basato sul conseguimento, nell’esercizio cui si riferisce l’ultimo bilancio approvato e depositato, di un importo dei ricavi delle vendite e delle prestazioni pari almeno a euro 500.000, consente di adottare, per l’attuazione della misura, una procedura valutativa in grado di ordinare le imprese in funzione del “merito”, ciò al fine di “scremare” le imprese target sul potenziale di crescita e sviluppo dell’impresa, misurato, appunto, attraverso tale specifico criterio.</w:t>
      </w:r>
    </w:p>
    <w:p w:rsidR="004C10BE" w:rsidRPr="00D50229" w:rsidRDefault="004C10BE" w:rsidP="004C10BE">
      <w:pPr>
        <w:shd w:val="clear" w:color="auto" w:fill="FFFFFF" w:themeFill="background1"/>
        <w:rPr>
          <w:rFonts w:cs="Times New Roman"/>
        </w:rPr>
      </w:pPr>
      <w:r w:rsidRPr="00D50229">
        <w:rPr>
          <w:rFonts w:cs="Times New Roman"/>
        </w:rPr>
        <w:t>La norma rinvia a un decreto ministeriale la disciplina dei criteri, le condizioni e le modalità per la concessione delle agevolazioni finanziarie.</w:t>
      </w:r>
    </w:p>
    <w:p w:rsidR="004C10BE" w:rsidRPr="00386E61" w:rsidRDefault="004C10BE" w:rsidP="004C10BE">
      <w:pPr>
        <w:shd w:val="clear" w:color="auto" w:fill="FFFFFF" w:themeFill="background1"/>
        <w:rPr>
          <w:rFonts w:cs="Times New Roman"/>
        </w:rPr>
      </w:pPr>
      <w:r w:rsidRPr="00386E61">
        <w:rPr>
          <w:rFonts w:cs="Times New Roman"/>
        </w:rPr>
        <w:t xml:space="preserve">In ogni caso, trattandosi di intervento adottato nell’ambito del Fondo per la crescita sostenibile di cui all’articolo 23 del decreto-legge 22 giugno 2012, n. 83, il quadro normativo generale di riferimento sarà costituito dal decreto 8 marzo 2013 del Ministero dello sviluppo economico, di concerto con l Ministero dell’economia e delle finanze. </w:t>
      </w:r>
    </w:p>
    <w:p w:rsidR="004C10BE" w:rsidRPr="00386E61" w:rsidRDefault="004C10BE" w:rsidP="004C10BE">
      <w:pPr>
        <w:shd w:val="clear" w:color="auto" w:fill="FFFFFF" w:themeFill="background1"/>
        <w:rPr>
          <w:rFonts w:cs="Times New Roman"/>
        </w:rPr>
      </w:pPr>
      <w:r w:rsidRPr="00386E61">
        <w:rPr>
          <w:rFonts w:cs="Times New Roman"/>
        </w:rPr>
        <w:t>Per detto tipo di intervento non si prevede l’affidamento della gestione ad un soggetto esterno mente si prevede di utilizzare, quale modulo procedimentale per la concessione delle agevolazioni, una procedura di tipo valutativo a sportello.</w:t>
      </w:r>
    </w:p>
    <w:p w:rsidR="004C10BE" w:rsidRPr="00386E61" w:rsidRDefault="004C10BE" w:rsidP="004C10BE">
      <w:pPr>
        <w:shd w:val="clear" w:color="auto" w:fill="FFFFFF" w:themeFill="background1"/>
        <w:rPr>
          <w:rFonts w:cs="Times New Roman"/>
        </w:rPr>
      </w:pPr>
      <w:r w:rsidRPr="00386E61">
        <w:rPr>
          <w:rFonts w:cs="Times New Roman"/>
        </w:rPr>
        <w:t>L'intervento prevede la concessione di agevolazioni nella forma del contributo in conto impianti e del finanziamento agevolato. Il mix tra le due forme agevolative sarà definito nelle successive disposizioni attuative nel rispetto delle modalità operative del Fondo per la crescita sostenibile.</w:t>
      </w:r>
    </w:p>
    <w:p w:rsidR="004C10BE" w:rsidRPr="00D50229" w:rsidRDefault="004C10BE" w:rsidP="004C10BE">
      <w:pPr>
        <w:shd w:val="clear" w:color="auto" w:fill="FFFFFF" w:themeFill="background1"/>
        <w:rPr>
          <w:rFonts w:cs="Times New Roman"/>
          <w:b/>
          <w:i/>
        </w:rPr>
      </w:pPr>
    </w:p>
    <w:p w:rsidR="004C10BE" w:rsidRPr="00D50229" w:rsidRDefault="004C10BE" w:rsidP="004C10BE">
      <w:pPr>
        <w:shd w:val="clear" w:color="auto" w:fill="FFFFFF" w:themeFill="background1"/>
        <w:rPr>
          <w:rFonts w:cs="Times New Roman"/>
          <w:b/>
          <w:i/>
        </w:rPr>
      </w:pPr>
      <w:r w:rsidRPr="00D50229">
        <w:rPr>
          <w:rFonts w:cs="Times New Roman"/>
          <w:b/>
          <w:i/>
        </w:rPr>
        <w:t>Relazione tecnica commi da 5 a 8 (Digital Transformation)</w:t>
      </w:r>
    </w:p>
    <w:p w:rsidR="004C10BE" w:rsidRPr="00386E61" w:rsidRDefault="004C10BE" w:rsidP="004C10BE">
      <w:pPr>
        <w:shd w:val="clear" w:color="auto" w:fill="FFFFFF" w:themeFill="background1"/>
        <w:rPr>
          <w:rFonts w:cs="Times New Roman"/>
        </w:rPr>
      </w:pPr>
      <w:r w:rsidRPr="00D50229">
        <w:rPr>
          <w:rFonts w:cs="Times New Roman"/>
        </w:rPr>
        <w:t>Le risorse finanziarie destinate alla concessione delle agevolazioni sono pari a 100.000.000,00 (centomilioni) di euro a valere sulle disponibilità del Fondo per la crescita sostenibile di cui all’art. 23 del D.L. 83/2012.</w:t>
      </w:r>
    </w:p>
    <w:p w:rsidR="009039A0" w:rsidRPr="002279E2" w:rsidRDefault="009039A0" w:rsidP="00612935">
      <w:pPr>
        <w:rPr>
          <w:rFonts w:cs="Times New Roman"/>
          <w:color w:val="auto"/>
          <w:sz w:val="24"/>
          <w:szCs w:val="24"/>
          <w:lang w:eastAsia="it-IT"/>
        </w:rPr>
      </w:pPr>
    </w:p>
    <w:p w:rsidR="00CB50D0" w:rsidRDefault="00CB50D0" w:rsidP="00CB50D0">
      <w:pPr>
        <w:pStyle w:val="Titolo2"/>
      </w:pPr>
      <w:bookmarkStart w:id="60" w:name="_Toc6937359"/>
      <w:r w:rsidRPr="002279E2">
        <w:t>Articolo 3</w:t>
      </w:r>
      <w:r w:rsidR="00B973FD">
        <w:t>0</w:t>
      </w:r>
      <w:r w:rsidRPr="002279E2">
        <w:br/>
        <w:t>(Contributi ai comuni per interventi di efficientamento energetico e sviluppo territoriale sostenibile)</w:t>
      </w:r>
      <w:bookmarkEnd w:id="60"/>
      <w:r w:rsidRPr="002279E2">
        <w:t xml:space="preserve"> </w:t>
      </w:r>
    </w:p>
    <w:p w:rsidR="00D76340" w:rsidRPr="00474DAC" w:rsidRDefault="00D76340" w:rsidP="003207BA">
      <w:pPr>
        <w:rPr>
          <w:color w:val="auto"/>
        </w:rPr>
      </w:pPr>
      <w:r w:rsidRPr="00474DAC">
        <w:rPr>
          <w:color w:val="auto"/>
        </w:rPr>
        <w:t>1. Con decreto del Ministero dello sviluppo economico, da emanarsi entro venti giorni dalla data di entrata in vigore del presente decreto legge, sono assegnati, sulla base dei criteri di cui al comma 2, contributi in favore dei Comuni, nel limite massimo di 500 milioni di euro per l’anno 2019 a valere sul Fondo Sviluppo e Coesione (FSC), di cui all’articolo 1, comma 6, della legge 27 dicembre 2013, n. 147, per la realizzazione di progetti relativi a investimenti nel campo dell’efficientamento energetico e dello sviluppo territoriale sostenibile.</w:t>
      </w:r>
    </w:p>
    <w:p w:rsidR="00D76340" w:rsidRPr="00474DAC" w:rsidRDefault="00D76340" w:rsidP="003207BA">
      <w:pPr>
        <w:rPr>
          <w:color w:val="auto"/>
        </w:rPr>
      </w:pPr>
      <w:r w:rsidRPr="00474DAC">
        <w:rPr>
          <w:color w:val="auto"/>
        </w:rPr>
        <w:t>2. Il contributo di cui al comma 1 è attribuito a ciascun Comune sulla base della popolazione residente alla data del 1° gennaio 2018, secondo i dati pubblicati dall’Istituto nazionale di statistica (ISTAT), come di seguito indicato:</w:t>
      </w:r>
    </w:p>
    <w:p w:rsidR="00D76340" w:rsidRPr="00474DAC" w:rsidRDefault="00D76340" w:rsidP="00826FD7">
      <w:pPr>
        <w:pStyle w:val="Paragrafoelenco"/>
        <w:numPr>
          <w:ilvl w:val="0"/>
          <w:numId w:val="33"/>
        </w:numPr>
        <w:spacing w:line="240" w:lineRule="auto"/>
        <w:rPr>
          <w:rFonts w:ascii="Times New Roman" w:hAnsi="Times New Roman"/>
          <w:color w:val="auto"/>
        </w:rPr>
      </w:pPr>
      <w:r w:rsidRPr="00474DAC">
        <w:rPr>
          <w:rFonts w:ascii="Times New Roman" w:hAnsi="Times New Roman"/>
          <w:color w:val="auto"/>
        </w:rPr>
        <w:t>ai Comuni con popolazione inferiore o uguale a 5.000 abitanti è assegnato un contributo pari ad euro 50.000,00;</w:t>
      </w:r>
    </w:p>
    <w:p w:rsidR="00D76340" w:rsidRPr="00474DAC" w:rsidRDefault="00D76340" w:rsidP="00826FD7">
      <w:pPr>
        <w:pStyle w:val="Paragrafoelenco"/>
        <w:numPr>
          <w:ilvl w:val="0"/>
          <w:numId w:val="33"/>
        </w:numPr>
        <w:spacing w:line="240" w:lineRule="auto"/>
        <w:rPr>
          <w:rFonts w:ascii="Times New Roman" w:hAnsi="Times New Roman"/>
          <w:color w:val="auto"/>
        </w:rPr>
      </w:pPr>
      <w:r w:rsidRPr="00474DAC">
        <w:rPr>
          <w:rFonts w:ascii="Times New Roman" w:hAnsi="Times New Roman"/>
          <w:color w:val="auto"/>
        </w:rPr>
        <w:t>ai Comuni con popolazione compresa tra 5.001 e 10.000 abitanti è assegnato un contributo pari ad euro 70.000,00;</w:t>
      </w:r>
    </w:p>
    <w:p w:rsidR="00D76340" w:rsidRPr="00474DAC" w:rsidRDefault="00D76340" w:rsidP="00826FD7">
      <w:pPr>
        <w:pStyle w:val="Paragrafoelenco"/>
        <w:numPr>
          <w:ilvl w:val="0"/>
          <w:numId w:val="33"/>
        </w:numPr>
        <w:spacing w:line="240" w:lineRule="auto"/>
        <w:rPr>
          <w:rFonts w:ascii="Times New Roman" w:hAnsi="Times New Roman"/>
          <w:color w:val="auto"/>
        </w:rPr>
      </w:pPr>
      <w:r w:rsidRPr="00474DAC">
        <w:rPr>
          <w:rFonts w:ascii="Times New Roman" w:hAnsi="Times New Roman"/>
          <w:color w:val="auto"/>
        </w:rPr>
        <w:t xml:space="preserve">ai Comuni con popolazione compresa tra 10.001 e 20.000 abitanti è assegnato un contributo pari ad euro 90.000,00; </w:t>
      </w:r>
    </w:p>
    <w:p w:rsidR="00D76340" w:rsidRPr="00474DAC" w:rsidRDefault="00D76340" w:rsidP="00826FD7">
      <w:pPr>
        <w:pStyle w:val="Paragrafoelenco"/>
        <w:numPr>
          <w:ilvl w:val="0"/>
          <w:numId w:val="33"/>
        </w:numPr>
        <w:spacing w:line="240" w:lineRule="auto"/>
        <w:rPr>
          <w:rFonts w:ascii="Times New Roman" w:hAnsi="Times New Roman"/>
          <w:color w:val="auto"/>
        </w:rPr>
      </w:pPr>
      <w:r w:rsidRPr="00474DAC">
        <w:rPr>
          <w:rFonts w:ascii="Times New Roman" w:hAnsi="Times New Roman"/>
          <w:color w:val="auto"/>
        </w:rPr>
        <w:t xml:space="preserve">ai Comuni con popolazione compresa tra 20.001 e 50.000 abitanti è assegnato un contributo pari ad euro 130.000,00; </w:t>
      </w:r>
    </w:p>
    <w:p w:rsidR="00D76340" w:rsidRPr="00474DAC" w:rsidRDefault="00D76340" w:rsidP="00826FD7">
      <w:pPr>
        <w:pStyle w:val="Paragrafoelenco"/>
        <w:numPr>
          <w:ilvl w:val="0"/>
          <w:numId w:val="33"/>
        </w:numPr>
        <w:spacing w:line="240" w:lineRule="auto"/>
        <w:rPr>
          <w:rFonts w:ascii="Times New Roman" w:hAnsi="Times New Roman"/>
          <w:color w:val="auto"/>
        </w:rPr>
      </w:pPr>
      <w:r w:rsidRPr="00474DAC">
        <w:rPr>
          <w:rFonts w:ascii="Times New Roman" w:hAnsi="Times New Roman"/>
          <w:color w:val="auto"/>
        </w:rPr>
        <w:t>ai Comuni con popolazione compresa tra 50.001 e 100.000 abitanti è assegnato un contributo pari ad euro 170.000,00;</w:t>
      </w:r>
    </w:p>
    <w:p w:rsidR="00D76340" w:rsidRPr="00474DAC" w:rsidRDefault="00D76340" w:rsidP="00826FD7">
      <w:pPr>
        <w:pStyle w:val="Paragrafoelenco"/>
        <w:numPr>
          <w:ilvl w:val="0"/>
          <w:numId w:val="33"/>
        </w:numPr>
        <w:spacing w:line="240" w:lineRule="auto"/>
        <w:rPr>
          <w:rFonts w:ascii="Times New Roman" w:hAnsi="Times New Roman"/>
          <w:color w:val="auto"/>
        </w:rPr>
      </w:pPr>
      <w:r w:rsidRPr="00474DAC">
        <w:rPr>
          <w:rFonts w:ascii="Times New Roman" w:hAnsi="Times New Roman"/>
          <w:color w:val="auto"/>
        </w:rPr>
        <w:t>ai Comuni con popolazione superiore compresa tra 100.001 e 250.000 abitanti è assegnato un contributo pari ad euro 210.000,00;</w:t>
      </w:r>
    </w:p>
    <w:p w:rsidR="00D76340" w:rsidRPr="00474DAC" w:rsidRDefault="00D76340" w:rsidP="00826FD7">
      <w:pPr>
        <w:pStyle w:val="Paragrafoelenco"/>
        <w:numPr>
          <w:ilvl w:val="0"/>
          <w:numId w:val="33"/>
        </w:numPr>
        <w:spacing w:line="240" w:lineRule="auto"/>
        <w:rPr>
          <w:rFonts w:ascii="Times New Roman" w:hAnsi="Times New Roman"/>
          <w:color w:val="auto"/>
        </w:rPr>
      </w:pPr>
      <w:r w:rsidRPr="00474DAC">
        <w:rPr>
          <w:rFonts w:ascii="Times New Roman" w:hAnsi="Times New Roman"/>
          <w:color w:val="auto"/>
        </w:rPr>
        <w:t>ai Comuni con popolazione superiore a 250.000 abitanti è assegnato un contributo pari ad euro 250.000,00.</w:t>
      </w:r>
    </w:p>
    <w:p w:rsidR="00D76340" w:rsidRPr="00474DAC" w:rsidRDefault="00D76340" w:rsidP="00162B2C">
      <w:pPr>
        <w:rPr>
          <w:color w:val="auto"/>
        </w:rPr>
      </w:pPr>
      <w:r w:rsidRPr="00474DAC">
        <w:rPr>
          <w:color w:val="auto"/>
        </w:rPr>
        <w:t>3. I contributi di cui al comma 1 sono destinati ad opere pubbliche in materia di:</w:t>
      </w:r>
    </w:p>
    <w:p w:rsidR="00D76340" w:rsidRPr="00474DAC" w:rsidRDefault="00D76340" w:rsidP="00162B2C">
      <w:pPr>
        <w:ind w:left="709" w:hanging="425"/>
        <w:rPr>
          <w:color w:val="auto"/>
        </w:rPr>
      </w:pPr>
      <w:r w:rsidRPr="00474DAC">
        <w:rPr>
          <w:color w:val="auto"/>
        </w:rPr>
        <w:t>a)</w:t>
      </w:r>
      <w:r w:rsidRPr="00474DAC">
        <w:rPr>
          <w:color w:val="auto"/>
        </w:rPr>
        <w:tab/>
        <w:t>efficientamento energetico, ivi compresi interventi volti all’efficientamento dell’illuminazione pubblica, al risparmio energetico degli edifici di proprietà pubblica, nonché all’installazione di impianti per la produzione di energia da fonti rinnovabili;</w:t>
      </w:r>
    </w:p>
    <w:p w:rsidR="00D76340" w:rsidRPr="00474DAC" w:rsidRDefault="00D76340" w:rsidP="00162B2C">
      <w:pPr>
        <w:ind w:left="709" w:hanging="425"/>
        <w:rPr>
          <w:color w:val="auto"/>
        </w:rPr>
      </w:pPr>
      <w:r w:rsidRPr="00474DAC">
        <w:rPr>
          <w:color w:val="auto"/>
        </w:rPr>
        <w:t xml:space="preserve">b) </w:t>
      </w:r>
      <w:r w:rsidRPr="00474DAC">
        <w:rPr>
          <w:color w:val="auto"/>
        </w:rPr>
        <w:tab/>
        <w:t>sviluppo territoriale sostenibile, ivi compresi interventi in materia di mobilità sostenibile, nonché interventi per l’adeguamento e la messa in sicurezza di scuole, edifici pubblici e patrimonio comunale e</w:t>
      </w:r>
      <w:r w:rsidRPr="00474DAC">
        <w:rPr>
          <w:b/>
          <w:color w:val="auto"/>
        </w:rPr>
        <w:t xml:space="preserve"> </w:t>
      </w:r>
      <w:r w:rsidRPr="00474DAC">
        <w:rPr>
          <w:color w:val="auto"/>
        </w:rPr>
        <w:t>per l’abbattimento delle barriere architettoniche.</w:t>
      </w:r>
    </w:p>
    <w:p w:rsidR="00D76340" w:rsidRPr="00474DAC" w:rsidRDefault="00D76340" w:rsidP="000F7EEA">
      <w:pPr>
        <w:rPr>
          <w:color w:val="auto"/>
        </w:rPr>
      </w:pPr>
      <w:r w:rsidRPr="00474DAC">
        <w:rPr>
          <w:color w:val="auto"/>
        </w:rPr>
        <w:t xml:space="preserve">4. Il Comune beneficiario del contributo può finanziare una o più opere pubbliche ai sensi del comma 3, a condizione che esse: </w:t>
      </w:r>
    </w:p>
    <w:p w:rsidR="00D76340" w:rsidRPr="00474DAC" w:rsidRDefault="00D76340" w:rsidP="000F7EEA">
      <w:pPr>
        <w:ind w:left="709"/>
        <w:rPr>
          <w:color w:val="auto"/>
        </w:rPr>
      </w:pPr>
      <w:r w:rsidRPr="00474DAC">
        <w:rPr>
          <w:color w:val="auto"/>
        </w:rPr>
        <w:t>a) non abbiano già ottenuto un finanziamento a valere su fondi pubblici o privati, nazionali, regionali, provinciali o strutturali di investimento europeo;</w:t>
      </w:r>
    </w:p>
    <w:p w:rsidR="00D76340" w:rsidRPr="00474DAC" w:rsidRDefault="00D76340" w:rsidP="000F7EEA">
      <w:pPr>
        <w:ind w:left="709"/>
        <w:rPr>
          <w:color w:val="auto"/>
        </w:rPr>
      </w:pPr>
      <w:r w:rsidRPr="00474DAC">
        <w:rPr>
          <w:color w:val="auto"/>
        </w:rPr>
        <w:t>b) siano aggiuntive rispetto a quelle già programmate sulla base degli stanziamenti contenuti nel bilancio di previsione dell’anno 2019.</w:t>
      </w:r>
    </w:p>
    <w:p w:rsidR="00D76340" w:rsidRPr="00474DAC" w:rsidRDefault="00D76340" w:rsidP="000F7EEA">
      <w:pPr>
        <w:rPr>
          <w:color w:val="auto"/>
        </w:rPr>
      </w:pPr>
      <w:r w:rsidRPr="00474DAC">
        <w:rPr>
          <w:color w:val="auto"/>
        </w:rPr>
        <w:t>5. Il Comune beneficiario del contributo di cui al comma 1 è tenuto ad iniziare l’esecuzione dei lavori di cui al comma 3 entro il 31 ottobre 2019.</w:t>
      </w:r>
    </w:p>
    <w:p w:rsidR="000F7EEA" w:rsidRPr="00474DAC" w:rsidRDefault="00D76340" w:rsidP="000F7EEA">
      <w:pPr>
        <w:rPr>
          <w:color w:val="auto"/>
        </w:rPr>
      </w:pPr>
      <w:r w:rsidRPr="00474DAC">
        <w:rPr>
          <w:color w:val="auto"/>
        </w:rPr>
        <w:t xml:space="preserve">6. Il contributo è corrisposto ai Comuni beneficiari dal Ministero dell’economia e delle finanze, su richiesta del Ministero dello sviluppo economico. </w:t>
      </w:r>
    </w:p>
    <w:p w:rsidR="00D76340" w:rsidRPr="00474DAC" w:rsidRDefault="00D76340" w:rsidP="000F7EEA">
      <w:pPr>
        <w:rPr>
          <w:color w:val="auto"/>
        </w:rPr>
      </w:pPr>
      <w:r w:rsidRPr="00474DAC">
        <w:rPr>
          <w:color w:val="auto"/>
        </w:rPr>
        <w:t>7. L’erogazione avviene, per il 50 per cento</w:t>
      </w:r>
      <w:r w:rsidR="000D33B7">
        <w:rPr>
          <w:color w:val="auto"/>
        </w:rPr>
        <w:t xml:space="preserve"> </w:t>
      </w:r>
      <w:r w:rsidR="000D33B7">
        <w:t>previo avvio del monitoraggio di cui al comma 11</w:t>
      </w:r>
      <w:r w:rsidRPr="00474DAC">
        <w:rPr>
          <w:color w:val="auto"/>
        </w:rPr>
        <w:t xml:space="preserve"> </w:t>
      </w:r>
      <w:r w:rsidR="006B7A01">
        <w:rPr>
          <w:color w:val="auto"/>
        </w:rPr>
        <w:t xml:space="preserve">e </w:t>
      </w:r>
      <w:r w:rsidR="006B7A01" w:rsidRPr="006B7A01">
        <w:rPr>
          <w:color w:val="auto"/>
        </w:rPr>
        <w:t xml:space="preserve">previa verifica da parte del Ministero dello sviluppo economico </w:t>
      </w:r>
      <w:r w:rsidRPr="00474DAC">
        <w:rPr>
          <w:color w:val="auto"/>
        </w:rPr>
        <w:t>dell’avvenuto inizio dell’esecuzione dei lavori entro il termine di cui al comma 5. Il saldo del restante 50 per cento, determinato come differenza tra la spesa effettivamente sostenuta per la realizzazione del progetto, e la quota già erogata, nel limite dell’importo del contributo di cui al comma 2, è corrisposto previa trasmissione al Ministero dello sviluppo economico, e verifica da parte dello stesso, del certificato di collaudo o di regolare esecuzione rilasciato dal direttore dei lavori, ai sensi dell’articolo 102 del decreto legislativo 18 aprile 2016, n. 50.</w:t>
      </w:r>
    </w:p>
    <w:p w:rsidR="00D76340" w:rsidRPr="00474DAC" w:rsidRDefault="00D76340" w:rsidP="000F7EEA">
      <w:pPr>
        <w:rPr>
          <w:color w:val="auto"/>
        </w:rPr>
      </w:pPr>
      <w:r w:rsidRPr="00474DAC">
        <w:rPr>
          <w:color w:val="auto"/>
        </w:rPr>
        <w:t>8. Per i Comuni delle regioni Friuli-Venezia Giulia e Valle d’Aosta e delle Province autonome di Trento e di Bolzano i contributi sono erogati per il tramite delle Autonomie speciali.</w:t>
      </w:r>
    </w:p>
    <w:p w:rsidR="00D76340" w:rsidRPr="00474DAC" w:rsidRDefault="00D76340" w:rsidP="000F7EEA">
      <w:pPr>
        <w:rPr>
          <w:color w:val="auto"/>
        </w:rPr>
      </w:pPr>
      <w:r w:rsidRPr="00474DAC">
        <w:rPr>
          <w:color w:val="auto"/>
        </w:rPr>
        <w:t>9. I Comuni che non rispettano il termine di cui al comma 5 decadono automaticamente dall’assegnazione del contributo di cui al comma 1. Le relative risorse rientrano nella disponibilità del Fondo per lo Sviluppo e la Coesione.</w:t>
      </w:r>
    </w:p>
    <w:p w:rsidR="00D76340" w:rsidRPr="00474DAC" w:rsidRDefault="00D76340" w:rsidP="000F7EEA">
      <w:pPr>
        <w:rPr>
          <w:strike/>
          <w:color w:val="auto"/>
        </w:rPr>
      </w:pPr>
      <w:r w:rsidRPr="00474DAC">
        <w:rPr>
          <w:color w:val="auto"/>
        </w:rPr>
        <w:t>10. Il Comune beneficiario dà pubblicità dell’importo concesso dal Ministero dello sviluppo economico nella sezione «Amministrazione trasparente» di cui al decreto legislativo 14 marzo 2013, n. 33, sottosezione Opere pubbliche.</w:t>
      </w:r>
    </w:p>
    <w:p w:rsidR="00D76340" w:rsidRPr="00474DAC" w:rsidRDefault="00D76340" w:rsidP="000F7EEA">
      <w:pPr>
        <w:rPr>
          <w:color w:val="auto"/>
        </w:rPr>
      </w:pPr>
      <w:r w:rsidRPr="00474DAC">
        <w:rPr>
          <w:color w:val="auto"/>
        </w:rPr>
        <w:t xml:space="preserve">11. I comuni beneficiari monitorano la realizzazione delle opere pubbliche attraverso propri sistemi informatici gestionali, ovvero avvalendosi del sistema informativo del Ministero dello Sviluppo Economico. Il medesimo Ministero provvede, ai sensi dell’articolo 1, comma 703, lettera l, legge 23 dicembre 2014, n. 190, a rendere disponibili i relativi dati alla Banca dati Unitaria gestita dal Ministero dell’Economia e delle Finanze – Dipartimento della Ragioneria Generale dello Stato. Le opere pubbliche oggetto di contributo sono identificate con apposito codice CUP da associare, a cura del responsabile del procedimento, al CIG o ai CIG corrispondenti sul sistema SIMOG dell’ANAC. </w:t>
      </w:r>
    </w:p>
    <w:p w:rsidR="00D76340" w:rsidRPr="00474DAC" w:rsidRDefault="00D76340" w:rsidP="000F7EEA">
      <w:pPr>
        <w:rPr>
          <w:color w:val="auto"/>
        </w:rPr>
      </w:pPr>
      <w:r w:rsidRPr="00474DAC">
        <w:rPr>
          <w:color w:val="auto"/>
        </w:rPr>
        <w:t>12. Considerata l’esigenza di semplificazione procedimentale, il Comune beneficiario che ottemperi agli adempimenti informativi di cui al comma 10 è esonerata dall’obbligo di presentazione del rendiconto dei contributi straordinari di cui all’articolo 158 del decreto legislativo 18 agosto 2000, n. 267.</w:t>
      </w:r>
    </w:p>
    <w:p w:rsidR="00D76340" w:rsidRPr="00474DAC" w:rsidRDefault="00D76340" w:rsidP="000F7EEA">
      <w:pPr>
        <w:rPr>
          <w:color w:val="auto"/>
        </w:rPr>
      </w:pPr>
      <w:r w:rsidRPr="00474DAC">
        <w:rPr>
          <w:color w:val="auto"/>
        </w:rPr>
        <w:t xml:space="preserve">13. Oltre ai controlli istruttori finalizzati ad attivare il flusso dei trasferimenti in favore dei Comuni, il Ministero dello sviluppo economico, anche avvalendosi di società in house, effettua, in collaborazione con il Ministero delle Infrastrutture e dei Trasporti, controlli a campione sulle attività realizzate con i contributi di cui alla presente legge, secondo modalità definite con apposito Decreto Ministeriale. </w:t>
      </w:r>
    </w:p>
    <w:p w:rsidR="00D76340" w:rsidRPr="00474DAC" w:rsidRDefault="00D76340" w:rsidP="000F7EEA">
      <w:pPr>
        <w:rPr>
          <w:color w:val="auto"/>
        </w:rPr>
      </w:pPr>
      <w:r w:rsidRPr="00474DAC">
        <w:rPr>
          <w:color w:val="auto"/>
        </w:rPr>
        <w:t>14. Agli oneri relativi alle attività istruttorie e di controllo derivanti dal presente articolo si provvede a valere sulle risorse di cui al comma 1, fino all’importo massimo di euro 1.760.000,00.</w:t>
      </w:r>
    </w:p>
    <w:p w:rsidR="00D76340" w:rsidRPr="00474DAC" w:rsidRDefault="00D76340" w:rsidP="00D76340">
      <w:pPr>
        <w:widowControl w:val="0"/>
        <w:outlineLvl w:val="0"/>
        <w:rPr>
          <w:rFonts w:cs="Times New Roman"/>
          <w:bCs/>
          <w:color w:val="auto"/>
        </w:rPr>
      </w:pPr>
    </w:p>
    <w:p w:rsidR="00D76340" w:rsidRPr="00474DAC" w:rsidRDefault="00D76340" w:rsidP="009C7978">
      <w:r w:rsidRPr="00474DAC">
        <w:t>TABELLA DI RIPARTO</w:t>
      </w:r>
    </w:p>
    <w:tbl>
      <w:tblPr>
        <w:tblW w:w="6784" w:type="dxa"/>
        <w:tblCellMar>
          <w:left w:w="70" w:type="dxa"/>
          <w:right w:w="70" w:type="dxa"/>
        </w:tblCellMar>
        <w:tblLook w:val="04A0" w:firstRow="1" w:lastRow="0" w:firstColumn="1" w:lastColumn="0" w:noHBand="0" w:noVBand="1"/>
      </w:tblPr>
      <w:tblGrid>
        <w:gridCol w:w="1920"/>
        <w:gridCol w:w="960"/>
        <w:gridCol w:w="1937"/>
        <w:gridCol w:w="1967"/>
      </w:tblGrid>
      <w:tr w:rsidR="00CB50D0" w:rsidRPr="00474DAC" w:rsidTr="00CB50D0">
        <w:trPr>
          <w:trHeight w:val="30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0D0" w:rsidRPr="00474DAC" w:rsidRDefault="00CB50D0" w:rsidP="00C826B8">
            <w:pPr>
              <w:rPr>
                <w:rFonts w:cs="Times New Roman"/>
                <w:b/>
                <w:bCs/>
                <w:color w:val="auto"/>
              </w:rPr>
            </w:pPr>
            <w:r w:rsidRPr="00474DAC">
              <w:rPr>
                <w:rFonts w:cs="Times New Roman"/>
                <w:b/>
                <w:bCs/>
                <w:color w:val="auto"/>
              </w:rPr>
              <w:t xml:space="preserve">Tipologia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B50D0" w:rsidRPr="00474DAC" w:rsidRDefault="00CB50D0" w:rsidP="00C826B8">
            <w:pPr>
              <w:rPr>
                <w:rFonts w:cs="Times New Roman"/>
                <w:b/>
                <w:bCs/>
                <w:color w:val="auto"/>
              </w:rPr>
            </w:pPr>
            <w:r w:rsidRPr="00474DAC">
              <w:rPr>
                <w:rFonts w:cs="Times New Roman"/>
                <w:b/>
                <w:bCs/>
                <w:color w:val="auto"/>
              </w:rPr>
              <w:t>Enti</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rsidR="00CB50D0" w:rsidRPr="00474DAC" w:rsidRDefault="00CB50D0" w:rsidP="00C826B8">
            <w:pPr>
              <w:rPr>
                <w:rFonts w:cs="Times New Roman"/>
                <w:b/>
                <w:bCs/>
                <w:color w:val="auto"/>
              </w:rPr>
            </w:pPr>
            <w:r w:rsidRPr="00474DAC">
              <w:rPr>
                <w:rFonts w:cs="Times New Roman"/>
                <w:b/>
                <w:bCs/>
                <w:color w:val="auto"/>
              </w:rPr>
              <w:t>Importo</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rsidR="00CB50D0" w:rsidRPr="00474DAC" w:rsidRDefault="00CB50D0" w:rsidP="00C826B8">
            <w:pPr>
              <w:rPr>
                <w:rFonts w:cs="Times New Roman"/>
                <w:b/>
                <w:bCs/>
                <w:color w:val="auto"/>
              </w:rPr>
            </w:pPr>
            <w:r w:rsidRPr="00474DAC">
              <w:rPr>
                <w:rFonts w:cs="Times New Roman"/>
                <w:b/>
                <w:bCs/>
                <w:color w:val="auto"/>
              </w:rPr>
              <w:t>Totale</w:t>
            </w:r>
          </w:p>
        </w:tc>
      </w:tr>
      <w:tr w:rsidR="00CB50D0" w:rsidRPr="00474DAC" w:rsidTr="00CB50D0">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&gt; 250.000</w:t>
            </w:r>
          </w:p>
        </w:tc>
        <w:tc>
          <w:tcPr>
            <w:tcW w:w="960" w:type="dxa"/>
            <w:tcBorders>
              <w:top w:val="nil"/>
              <w:left w:val="nil"/>
              <w:bottom w:val="single" w:sz="4" w:space="0" w:color="auto"/>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 xml:space="preserve">    12 </w:t>
            </w:r>
          </w:p>
        </w:tc>
        <w:tc>
          <w:tcPr>
            <w:tcW w:w="1937" w:type="dxa"/>
            <w:tcBorders>
              <w:top w:val="nil"/>
              <w:left w:val="nil"/>
              <w:bottom w:val="single" w:sz="4" w:space="0" w:color="auto"/>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 xml:space="preserve">      250.000 </w:t>
            </w:r>
          </w:p>
        </w:tc>
        <w:tc>
          <w:tcPr>
            <w:tcW w:w="1967" w:type="dxa"/>
            <w:tcBorders>
              <w:top w:val="nil"/>
              <w:left w:val="nil"/>
              <w:bottom w:val="single" w:sz="4" w:space="0" w:color="auto"/>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 xml:space="preserve">      3.000.000 </w:t>
            </w:r>
          </w:p>
        </w:tc>
      </w:tr>
      <w:tr w:rsidR="00CB50D0" w:rsidRPr="00474DAC" w:rsidTr="00CB50D0">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100.001-250.000</w:t>
            </w:r>
          </w:p>
        </w:tc>
        <w:tc>
          <w:tcPr>
            <w:tcW w:w="960" w:type="dxa"/>
            <w:tcBorders>
              <w:top w:val="nil"/>
              <w:left w:val="nil"/>
              <w:bottom w:val="single" w:sz="4" w:space="0" w:color="auto"/>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 xml:space="preserve">    33 </w:t>
            </w:r>
          </w:p>
        </w:tc>
        <w:tc>
          <w:tcPr>
            <w:tcW w:w="1937" w:type="dxa"/>
            <w:tcBorders>
              <w:top w:val="nil"/>
              <w:left w:val="nil"/>
              <w:bottom w:val="single" w:sz="4" w:space="0" w:color="auto"/>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 xml:space="preserve">      210.000 </w:t>
            </w:r>
          </w:p>
        </w:tc>
        <w:tc>
          <w:tcPr>
            <w:tcW w:w="1967" w:type="dxa"/>
            <w:tcBorders>
              <w:top w:val="nil"/>
              <w:left w:val="nil"/>
              <w:bottom w:val="single" w:sz="4" w:space="0" w:color="auto"/>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 xml:space="preserve">      6.930.000 </w:t>
            </w:r>
          </w:p>
        </w:tc>
      </w:tr>
      <w:tr w:rsidR="00CB50D0" w:rsidRPr="00474DAC" w:rsidTr="00CB50D0">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50.001-100.000</w:t>
            </w:r>
          </w:p>
        </w:tc>
        <w:tc>
          <w:tcPr>
            <w:tcW w:w="960" w:type="dxa"/>
            <w:tcBorders>
              <w:top w:val="nil"/>
              <w:left w:val="nil"/>
              <w:bottom w:val="single" w:sz="4" w:space="0" w:color="auto"/>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 xml:space="preserve">   100 </w:t>
            </w:r>
          </w:p>
        </w:tc>
        <w:tc>
          <w:tcPr>
            <w:tcW w:w="1937" w:type="dxa"/>
            <w:tcBorders>
              <w:top w:val="nil"/>
              <w:left w:val="nil"/>
              <w:bottom w:val="single" w:sz="4" w:space="0" w:color="auto"/>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 xml:space="preserve">      170.000 </w:t>
            </w:r>
          </w:p>
        </w:tc>
        <w:tc>
          <w:tcPr>
            <w:tcW w:w="1967" w:type="dxa"/>
            <w:tcBorders>
              <w:top w:val="nil"/>
              <w:left w:val="nil"/>
              <w:bottom w:val="single" w:sz="4" w:space="0" w:color="auto"/>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 xml:space="preserve">     17.000.000 </w:t>
            </w:r>
          </w:p>
        </w:tc>
      </w:tr>
      <w:tr w:rsidR="00CB50D0" w:rsidRPr="00474DAC" w:rsidTr="00CB50D0">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20.001-50.000</w:t>
            </w:r>
          </w:p>
        </w:tc>
        <w:tc>
          <w:tcPr>
            <w:tcW w:w="960" w:type="dxa"/>
            <w:tcBorders>
              <w:top w:val="nil"/>
              <w:left w:val="nil"/>
              <w:bottom w:val="nil"/>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 xml:space="preserve">   379 </w:t>
            </w:r>
          </w:p>
        </w:tc>
        <w:tc>
          <w:tcPr>
            <w:tcW w:w="1937" w:type="dxa"/>
            <w:tcBorders>
              <w:top w:val="nil"/>
              <w:left w:val="nil"/>
              <w:bottom w:val="nil"/>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 xml:space="preserve">      130.000 </w:t>
            </w:r>
          </w:p>
        </w:tc>
        <w:tc>
          <w:tcPr>
            <w:tcW w:w="1967" w:type="dxa"/>
            <w:tcBorders>
              <w:top w:val="nil"/>
              <w:left w:val="nil"/>
              <w:bottom w:val="nil"/>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 xml:space="preserve">     49.270.000 </w:t>
            </w:r>
          </w:p>
        </w:tc>
      </w:tr>
      <w:tr w:rsidR="00CB50D0" w:rsidRPr="00474DAC" w:rsidTr="00CB50D0">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10.001-20.000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 xml:space="preserve">   707 </w:t>
            </w:r>
          </w:p>
        </w:tc>
        <w:tc>
          <w:tcPr>
            <w:tcW w:w="1937" w:type="dxa"/>
            <w:tcBorders>
              <w:top w:val="single" w:sz="4" w:space="0" w:color="auto"/>
              <w:left w:val="nil"/>
              <w:bottom w:val="single" w:sz="4" w:space="0" w:color="auto"/>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 xml:space="preserve">       90.000 </w:t>
            </w:r>
          </w:p>
        </w:tc>
        <w:tc>
          <w:tcPr>
            <w:tcW w:w="1967" w:type="dxa"/>
            <w:tcBorders>
              <w:top w:val="single" w:sz="4" w:space="0" w:color="auto"/>
              <w:left w:val="nil"/>
              <w:bottom w:val="nil"/>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 xml:space="preserve">     63.630.000 </w:t>
            </w:r>
          </w:p>
        </w:tc>
      </w:tr>
      <w:tr w:rsidR="00CB50D0" w:rsidRPr="00474DAC" w:rsidTr="00CB50D0">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5.001-10.000</w:t>
            </w:r>
          </w:p>
        </w:tc>
        <w:tc>
          <w:tcPr>
            <w:tcW w:w="960" w:type="dxa"/>
            <w:tcBorders>
              <w:top w:val="nil"/>
              <w:left w:val="nil"/>
              <w:bottom w:val="single" w:sz="4" w:space="0" w:color="auto"/>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 xml:space="preserve">  1.183 </w:t>
            </w:r>
          </w:p>
        </w:tc>
        <w:tc>
          <w:tcPr>
            <w:tcW w:w="1937" w:type="dxa"/>
            <w:tcBorders>
              <w:top w:val="nil"/>
              <w:left w:val="nil"/>
              <w:bottom w:val="single" w:sz="4" w:space="0" w:color="auto"/>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 xml:space="preserve">       70.000 </w:t>
            </w:r>
          </w:p>
        </w:tc>
        <w:tc>
          <w:tcPr>
            <w:tcW w:w="1967" w:type="dxa"/>
            <w:tcBorders>
              <w:top w:val="single" w:sz="4" w:space="0" w:color="auto"/>
              <w:left w:val="nil"/>
              <w:bottom w:val="nil"/>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 xml:space="preserve">     82.810.000 </w:t>
            </w:r>
          </w:p>
        </w:tc>
      </w:tr>
      <w:tr w:rsidR="00CB50D0" w:rsidRPr="00474DAC" w:rsidTr="00CB50D0">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2.001-5.000</w:t>
            </w:r>
          </w:p>
        </w:tc>
        <w:tc>
          <w:tcPr>
            <w:tcW w:w="960" w:type="dxa"/>
            <w:tcBorders>
              <w:top w:val="nil"/>
              <w:left w:val="nil"/>
              <w:bottom w:val="single" w:sz="4" w:space="0" w:color="auto"/>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 xml:space="preserve">  2.050 </w:t>
            </w:r>
          </w:p>
        </w:tc>
        <w:tc>
          <w:tcPr>
            <w:tcW w:w="19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50D0" w:rsidRPr="00474DAC" w:rsidRDefault="00CB50D0" w:rsidP="00C826B8">
            <w:pPr>
              <w:rPr>
                <w:rFonts w:cs="Times New Roman"/>
                <w:color w:val="auto"/>
              </w:rPr>
            </w:pPr>
            <w:r w:rsidRPr="00474DAC">
              <w:rPr>
                <w:rFonts w:cs="Times New Roman"/>
                <w:color w:val="auto"/>
              </w:rPr>
              <w:t xml:space="preserve">       50.000 </w:t>
            </w:r>
          </w:p>
        </w:tc>
        <w:tc>
          <w:tcPr>
            <w:tcW w:w="1967"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CB50D0" w:rsidRPr="00474DAC" w:rsidRDefault="00CB50D0" w:rsidP="00C826B8">
            <w:pPr>
              <w:rPr>
                <w:rFonts w:cs="Times New Roman"/>
                <w:color w:val="auto"/>
              </w:rPr>
            </w:pPr>
            <w:r w:rsidRPr="00474DAC">
              <w:rPr>
                <w:rFonts w:cs="Times New Roman"/>
                <w:color w:val="auto"/>
              </w:rPr>
              <w:t xml:space="preserve">    275.600.000 </w:t>
            </w:r>
          </w:p>
        </w:tc>
      </w:tr>
      <w:tr w:rsidR="00CB50D0" w:rsidRPr="00474DAC" w:rsidTr="00CB50D0">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&lt; 2.000</w:t>
            </w:r>
          </w:p>
        </w:tc>
        <w:tc>
          <w:tcPr>
            <w:tcW w:w="960" w:type="dxa"/>
            <w:tcBorders>
              <w:top w:val="nil"/>
              <w:left w:val="nil"/>
              <w:bottom w:val="nil"/>
              <w:right w:val="single" w:sz="4" w:space="0" w:color="auto"/>
            </w:tcBorders>
            <w:shd w:val="clear" w:color="auto" w:fill="auto"/>
            <w:noWrap/>
            <w:vAlign w:val="bottom"/>
            <w:hideMark/>
          </w:tcPr>
          <w:p w:rsidR="00CB50D0" w:rsidRPr="00474DAC" w:rsidRDefault="00CB50D0" w:rsidP="00C826B8">
            <w:pPr>
              <w:rPr>
                <w:rFonts w:cs="Times New Roman"/>
                <w:color w:val="auto"/>
              </w:rPr>
            </w:pPr>
            <w:r w:rsidRPr="00474DAC">
              <w:rPr>
                <w:rFonts w:cs="Times New Roman"/>
                <w:color w:val="auto"/>
              </w:rPr>
              <w:t xml:space="preserve">  3.462 </w:t>
            </w:r>
          </w:p>
        </w:tc>
        <w:tc>
          <w:tcPr>
            <w:tcW w:w="1937" w:type="dxa"/>
            <w:vMerge/>
            <w:tcBorders>
              <w:top w:val="nil"/>
              <w:left w:val="single" w:sz="4" w:space="0" w:color="auto"/>
              <w:bottom w:val="single" w:sz="4" w:space="0" w:color="000000"/>
              <w:right w:val="single" w:sz="4" w:space="0" w:color="auto"/>
            </w:tcBorders>
            <w:vAlign w:val="center"/>
            <w:hideMark/>
          </w:tcPr>
          <w:p w:rsidR="00CB50D0" w:rsidRPr="00474DAC" w:rsidRDefault="00CB50D0" w:rsidP="00C826B8">
            <w:pPr>
              <w:rPr>
                <w:rFonts w:cs="Times New Roman"/>
                <w:color w:val="auto"/>
              </w:rPr>
            </w:pPr>
          </w:p>
        </w:tc>
        <w:tc>
          <w:tcPr>
            <w:tcW w:w="1967" w:type="dxa"/>
            <w:vMerge/>
            <w:tcBorders>
              <w:top w:val="single" w:sz="4" w:space="0" w:color="auto"/>
              <w:left w:val="single" w:sz="4" w:space="0" w:color="auto"/>
              <w:bottom w:val="single" w:sz="8" w:space="0" w:color="000000"/>
              <w:right w:val="single" w:sz="4" w:space="0" w:color="auto"/>
            </w:tcBorders>
            <w:vAlign w:val="center"/>
            <w:hideMark/>
          </w:tcPr>
          <w:p w:rsidR="00CB50D0" w:rsidRPr="00474DAC" w:rsidRDefault="00CB50D0" w:rsidP="00C826B8">
            <w:pPr>
              <w:rPr>
                <w:rFonts w:cs="Times New Roman"/>
                <w:color w:val="auto"/>
              </w:rPr>
            </w:pPr>
          </w:p>
        </w:tc>
      </w:tr>
      <w:tr w:rsidR="00CB50D0" w:rsidRPr="00474DAC" w:rsidTr="00CB50D0">
        <w:trPr>
          <w:trHeight w:val="315"/>
        </w:trPr>
        <w:tc>
          <w:tcPr>
            <w:tcW w:w="1920" w:type="dxa"/>
            <w:tcBorders>
              <w:top w:val="nil"/>
              <w:left w:val="nil"/>
              <w:bottom w:val="nil"/>
              <w:right w:val="nil"/>
            </w:tcBorders>
            <w:shd w:val="clear" w:color="auto" w:fill="auto"/>
            <w:noWrap/>
            <w:vAlign w:val="bottom"/>
            <w:hideMark/>
          </w:tcPr>
          <w:p w:rsidR="00CB50D0" w:rsidRPr="00474DAC" w:rsidRDefault="00CB50D0" w:rsidP="00C826B8">
            <w:pPr>
              <w:rPr>
                <w:rFonts w:cs="Times New Roman"/>
                <w:color w:val="auto"/>
              </w:rPr>
            </w:pP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50D0" w:rsidRPr="00474DAC" w:rsidRDefault="00CB50D0" w:rsidP="00C826B8">
            <w:pPr>
              <w:rPr>
                <w:rFonts w:cs="Times New Roman"/>
                <w:b/>
                <w:bCs/>
                <w:color w:val="auto"/>
              </w:rPr>
            </w:pPr>
            <w:r w:rsidRPr="00474DAC">
              <w:rPr>
                <w:rFonts w:cs="Times New Roman"/>
                <w:b/>
                <w:bCs/>
                <w:color w:val="auto"/>
              </w:rPr>
              <w:t xml:space="preserve">  7.926 </w:t>
            </w:r>
          </w:p>
        </w:tc>
        <w:tc>
          <w:tcPr>
            <w:tcW w:w="1937" w:type="dxa"/>
            <w:tcBorders>
              <w:top w:val="nil"/>
              <w:left w:val="nil"/>
              <w:bottom w:val="nil"/>
              <w:right w:val="nil"/>
            </w:tcBorders>
            <w:shd w:val="clear" w:color="auto" w:fill="auto"/>
            <w:noWrap/>
            <w:vAlign w:val="bottom"/>
            <w:hideMark/>
          </w:tcPr>
          <w:p w:rsidR="00CB50D0" w:rsidRPr="00474DAC" w:rsidRDefault="00CB50D0" w:rsidP="00C826B8">
            <w:pPr>
              <w:rPr>
                <w:rFonts w:cs="Times New Roman"/>
                <w:b/>
                <w:bCs/>
                <w:color w:val="auto"/>
              </w:rPr>
            </w:pPr>
          </w:p>
        </w:tc>
        <w:tc>
          <w:tcPr>
            <w:tcW w:w="1967" w:type="dxa"/>
            <w:tcBorders>
              <w:top w:val="nil"/>
              <w:left w:val="single" w:sz="8" w:space="0" w:color="auto"/>
              <w:bottom w:val="single" w:sz="8" w:space="0" w:color="auto"/>
              <w:right w:val="single" w:sz="8" w:space="0" w:color="auto"/>
            </w:tcBorders>
            <w:shd w:val="clear" w:color="auto" w:fill="auto"/>
            <w:noWrap/>
            <w:vAlign w:val="bottom"/>
            <w:hideMark/>
          </w:tcPr>
          <w:p w:rsidR="00CB50D0" w:rsidRPr="00474DAC" w:rsidRDefault="00CB50D0" w:rsidP="00C826B8">
            <w:pPr>
              <w:rPr>
                <w:rFonts w:cs="Times New Roman"/>
                <w:b/>
                <w:bCs/>
                <w:color w:val="auto"/>
              </w:rPr>
            </w:pPr>
            <w:r w:rsidRPr="00474DAC">
              <w:rPr>
                <w:rFonts w:cs="Times New Roman"/>
                <w:b/>
                <w:bCs/>
                <w:color w:val="auto"/>
              </w:rPr>
              <w:t xml:space="preserve">    498.240.000 </w:t>
            </w:r>
          </w:p>
        </w:tc>
      </w:tr>
      <w:tr w:rsidR="00CB50D0" w:rsidRPr="00474DAC" w:rsidTr="00CB50D0">
        <w:trPr>
          <w:trHeight w:val="300"/>
        </w:trPr>
        <w:tc>
          <w:tcPr>
            <w:tcW w:w="1920" w:type="dxa"/>
            <w:tcBorders>
              <w:top w:val="nil"/>
              <w:left w:val="nil"/>
              <w:bottom w:val="nil"/>
              <w:right w:val="nil"/>
            </w:tcBorders>
            <w:shd w:val="clear" w:color="auto" w:fill="auto"/>
            <w:noWrap/>
            <w:vAlign w:val="bottom"/>
            <w:hideMark/>
          </w:tcPr>
          <w:p w:rsidR="00CB50D0" w:rsidRPr="00474DAC" w:rsidRDefault="00CB50D0" w:rsidP="00C826B8">
            <w:pPr>
              <w:rPr>
                <w:rFonts w:cs="Times New Roman"/>
                <w:color w:val="auto"/>
              </w:rPr>
            </w:pPr>
          </w:p>
        </w:tc>
        <w:tc>
          <w:tcPr>
            <w:tcW w:w="960" w:type="dxa"/>
            <w:tcBorders>
              <w:top w:val="nil"/>
              <w:left w:val="nil"/>
              <w:bottom w:val="nil"/>
              <w:right w:val="nil"/>
            </w:tcBorders>
            <w:shd w:val="clear" w:color="auto" w:fill="auto"/>
            <w:noWrap/>
            <w:vAlign w:val="bottom"/>
            <w:hideMark/>
          </w:tcPr>
          <w:p w:rsidR="00CB50D0" w:rsidRPr="00474DAC" w:rsidRDefault="00CB50D0" w:rsidP="00C826B8">
            <w:pPr>
              <w:rPr>
                <w:rFonts w:cs="Times New Roman"/>
                <w:color w:val="auto"/>
              </w:rPr>
            </w:pPr>
          </w:p>
        </w:tc>
        <w:tc>
          <w:tcPr>
            <w:tcW w:w="1937" w:type="dxa"/>
            <w:tcBorders>
              <w:top w:val="nil"/>
              <w:left w:val="nil"/>
              <w:bottom w:val="nil"/>
              <w:right w:val="nil"/>
            </w:tcBorders>
            <w:shd w:val="clear" w:color="auto" w:fill="auto"/>
            <w:noWrap/>
            <w:vAlign w:val="bottom"/>
            <w:hideMark/>
          </w:tcPr>
          <w:p w:rsidR="00CB50D0" w:rsidRPr="00474DAC" w:rsidRDefault="00CB50D0" w:rsidP="00C826B8">
            <w:pPr>
              <w:rPr>
                <w:rFonts w:cs="Times New Roman"/>
                <w:color w:val="auto"/>
              </w:rPr>
            </w:pPr>
          </w:p>
        </w:tc>
        <w:tc>
          <w:tcPr>
            <w:tcW w:w="1967" w:type="dxa"/>
            <w:tcBorders>
              <w:top w:val="nil"/>
              <w:left w:val="nil"/>
              <w:bottom w:val="nil"/>
              <w:right w:val="nil"/>
            </w:tcBorders>
            <w:shd w:val="clear" w:color="auto" w:fill="auto"/>
            <w:noWrap/>
            <w:vAlign w:val="bottom"/>
            <w:hideMark/>
          </w:tcPr>
          <w:p w:rsidR="00CB50D0" w:rsidRPr="00474DAC" w:rsidRDefault="00CB50D0" w:rsidP="00C826B8">
            <w:pPr>
              <w:rPr>
                <w:rFonts w:cs="Times New Roman"/>
                <w:color w:val="auto"/>
              </w:rPr>
            </w:pPr>
          </w:p>
        </w:tc>
      </w:tr>
    </w:tbl>
    <w:p w:rsidR="00D76340" w:rsidRPr="00474DAC" w:rsidRDefault="00D76340" w:rsidP="00D76340">
      <w:pPr>
        <w:widowControl w:val="0"/>
        <w:outlineLvl w:val="0"/>
        <w:rPr>
          <w:rFonts w:cs="Times New Roman"/>
          <w:bCs/>
          <w:color w:val="auto"/>
        </w:rPr>
      </w:pPr>
    </w:p>
    <w:p w:rsidR="00D76340" w:rsidRPr="00474DAC" w:rsidRDefault="00D76340" w:rsidP="00D76340">
      <w:pPr>
        <w:rPr>
          <w:rFonts w:cs="Times New Roman"/>
          <w:b/>
          <w:color w:val="auto"/>
        </w:rPr>
      </w:pPr>
      <w:r w:rsidRPr="00474DAC">
        <w:rPr>
          <w:rFonts w:cs="Times New Roman"/>
          <w:b/>
          <w:color w:val="auto"/>
        </w:rPr>
        <w:t xml:space="preserve">Relazione illustrativa </w:t>
      </w:r>
    </w:p>
    <w:p w:rsidR="00D76340" w:rsidRPr="00474DAC" w:rsidRDefault="00D76340" w:rsidP="00D76340">
      <w:pPr>
        <w:rPr>
          <w:rFonts w:cs="Times New Roman"/>
          <w:color w:val="auto"/>
        </w:rPr>
      </w:pPr>
      <w:r w:rsidRPr="00474DAC">
        <w:rPr>
          <w:rFonts w:cs="Times New Roman"/>
          <w:color w:val="auto"/>
        </w:rPr>
        <w:t>La norma è volta a finanziare la realizzazione di progetti di miglioramento dell’efficienza energetica sul patrimonio edilizio pubblico e progetti di sviluppo territoriale sostenibile.</w:t>
      </w:r>
    </w:p>
    <w:p w:rsidR="00D76340" w:rsidRPr="00474DAC" w:rsidRDefault="00D76340" w:rsidP="00CB50D0">
      <w:pPr>
        <w:rPr>
          <w:rFonts w:cs="Times New Roman"/>
          <w:color w:val="auto"/>
        </w:rPr>
      </w:pPr>
      <w:r w:rsidRPr="00474DAC">
        <w:rPr>
          <w:rFonts w:cs="Times New Roman"/>
          <w:color w:val="auto"/>
        </w:rPr>
        <w:t xml:space="preserve">Gli interventi finanziati si pongono in linea con gli obiettivi di politica energetica nazionale ed europea (vedi, ad esempio, la Strategia Energetica Nazionale - SEN e gli obiettivi in tema ambientale al 2030), anche al fine di ridurre il consumo finale lordo di energia e di accelerare l’evoluzione verso gli edifici a energia quasi zero. La norma mira, altresì, allo sviluppo territoriale sostenibile attraverso interventi in ambito sociale (ad esempio, abbattimento barriere architettoniche), messa in sicurezza del patrimonio pubblico e mobilità sostenibile. </w:t>
      </w:r>
    </w:p>
    <w:p w:rsidR="00D76340" w:rsidRPr="00474DAC" w:rsidRDefault="00D76340" w:rsidP="00D76340">
      <w:pPr>
        <w:rPr>
          <w:rFonts w:cs="Times New Roman"/>
          <w:color w:val="auto"/>
        </w:rPr>
      </w:pPr>
      <w:r w:rsidRPr="00474DAC">
        <w:rPr>
          <w:rFonts w:cs="Times New Roman"/>
          <w:color w:val="auto"/>
        </w:rPr>
        <w:t>La norma destina euro 500.000.000 per l’anno 2019 a favore di tutte le amministrazioni comunali del territorio nazionale per la realizzazione di progetti di efficientamento energetico e di sviluppo territoriale sostenibile.</w:t>
      </w:r>
    </w:p>
    <w:p w:rsidR="00D76340" w:rsidRPr="00474DAC" w:rsidRDefault="00D76340" w:rsidP="00D76340">
      <w:pPr>
        <w:rPr>
          <w:rFonts w:cs="Times New Roman"/>
          <w:color w:val="auto"/>
        </w:rPr>
      </w:pPr>
      <w:r w:rsidRPr="00474DAC">
        <w:rPr>
          <w:rFonts w:cs="Times New Roman"/>
          <w:color w:val="auto"/>
        </w:rPr>
        <w:t>Il Ministero dello sviluppo economico procede all’assegnazione automatica dei contributi, a favore delle amministrazioni comunali, in proporzione al numero di abitanti, da un minimo di euro 60.000 ad un massimo di euro 150.0000 (per amministrazioni comunali con popolazione superiore a 100.000 abitanti).</w:t>
      </w:r>
    </w:p>
    <w:p w:rsidR="00D76340" w:rsidRDefault="00D76340" w:rsidP="00612935"/>
    <w:p w:rsidR="00455BED" w:rsidRPr="002279E2" w:rsidRDefault="00455BED" w:rsidP="00612935">
      <w:pPr>
        <w:pStyle w:val="Titolo1"/>
        <w:rPr>
          <w:rFonts w:eastAsia="Times New Roman"/>
          <w:i/>
        </w:rPr>
      </w:pPr>
      <w:bookmarkStart w:id="61" w:name="_Toc4174458"/>
      <w:bookmarkStart w:id="62" w:name="_Toc6937360"/>
      <w:r w:rsidRPr="002279E2">
        <w:rPr>
          <w:rFonts w:eastAsia="Times New Roman"/>
        </w:rPr>
        <w:t xml:space="preserve">CAPO </w:t>
      </w:r>
      <w:r w:rsidR="00B16AF8" w:rsidRPr="002279E2">
        <w:rPr>
          <w:rFonts w:eastAsia="Times New Roman"/>
        </w:rPr>
        <w:t>III</w:t>
      </w:r>
      <w:r w:rsidRPr="002279E2">
        <w:rPr>
          <w:rFonts w:eastAsia="Times New Roman"/>
        </w:rPr>
        <w:t xml:space="preserve"> TUTELA DEL </w:t>
      </w:r>
      <w:r w:rsidRPr="002279E2">
        <w:rPr>
          <w:rFonts w:eastAsia="Times New Roman"/>
          <w:i/>
        </w:rPr>
        <w:t>MADE IN ITALY</w:t>
      </w:r>
      <w:bookmarkEnd w:id="61"/>
      <w:bookmarkEnd w:id="62"/>
    </w:p>
    <w:p w:rsidR="00455BED" w:rsidRPr="002279E2" w:rsidRDefault="00455BED" w:rsidP="00612935"/>
    <w:p w:rsidR="00455BED" w:rsidRPr="00C7039C" w:rsidRDefault="006B325F" w:rsidP="00EE0B19">
      <w:pPr>
        <w:pStyle w:val="Titolo2"/>
      </w:pPr>
      <w:bookmarkStart w:id="63" w:name="_Toc4174459"/>
      <w:bookmarkStart w:id="64" w:name="_Toc6937361"/>
      <w:r w:rsidRPr="00F307C4">
        <w:rPr>
          <w:highlight w:val="yellow"/>
        </w:rPr>
        <w:t>Articolo</w:t>
      </w:r>
      <w:r w:rsidR="00455BED" w:rsidRPr="00F307C4">
        <w:rPr>
          <w:highlight w:val="yellow"/>
        </w:rPr>
        <w:t xml:space="preserve"> </w:t>
      </w:r>
      <w:r w:rsidR="00B3524D" w:rsidRPr="00F307C4">
        <w:rPr>
          <w:highlight w:val="yellow"/>
        </w:rPr>
        <w:t>3</w:t>
      </w:r>
      <w:r w:rsidR="00E97E40">
        <w:rPr>
          <w:highlight w:val="yellow"/>
        </w:rPr>
        <w:t>1</w:t>
      </w:r>
      <w:r w:rsidR="002475BF" w:rsidRPr="00F307C4">
        <w:rPr>
          <w:highlight w:val="yellow"/>
        </w:rPr>
        <w:br/>
      </w:r>
      <w:r w:rsidR="00455BED" w:rsidRPr="00F307C4">
        <w:rPr>
          <w:highlight w:val="yellow"/>
        </w:rPr>
        <w:t>(</w:t>
      </w:r>
      <w:bookmarkEnd w:id="63"/>
      <w:r w:rsidR="00E75AC2" w:rsidRPr="00F307C4">
        <w:rPr>
          <w:highlight w:val="yellow"/>
        </w:rPr>
        <w:t>Marchi storici)</w:t>
      </w:r>
      <w:bookmarkEnd w:id="64"/>
      <w:r w:rsidR="00654018" w:rsidRPr="00C7039C">
        <w:t xml:space="preserve"> </w:t>
      </w:r>
    </w:p>
    <w:p w:rsidR="00C7039C" w:rsidRPr="00386E61" w:rsidRDefault="00C7039C" w:rsidP="00C7039C">
      <w:pPr>
        <w:rPr>
          <w:rFonts w:cs="Times New Roman"/>
          <w:szCs w:val="24"/>
        </w:rPr>
      </w:pPr>
      <w:r w:rsidRPr="00386E61">
        <w:rPr>
          <w:rFonts w:cs="Times New Roman"/>
          <w:szCs w:val="24"/>
        </w:rPr>
        <w:t>1. Al decreto legislativo 10 febbraio 2005, n. 30 sono apportate le seguenti modifiche:</w:t>
      </w:r>
    </w:p>
    <w:p w:rsidR="00C7039C" w:rsidRPr="00386E61" w:rsidRDefault="00C7039C" w:rsidP="00C7039C">
      <w:pPr>
        <w:ind w:left="284"/>
        <w:rPr>
          <w:rFonts w:cs="Times New Roman"/>
          <w:szCs w:val="24"/>
        </w:rPr>
      </w:pPr>
      <w:r w:rsidRPr="00386E61">
        <w:rPr>
          <w:rFonts w:cs="Times New Roman"/>
          <w:szCs w:val="24"/>
        </w:rPr>
        <w:t>a) dopo l’articolo 11-bis è inserito il seguente:</w:t>
      </w:r>
    </w:p>
    <w:p w:rsidR="00C7039C" w:rsidRPr="00386E61" w:rsidRDefault="00C7039C" w:rsidP="00C7039C">
      <w:pPr>
        <w:ind w:left="284"/>
        <w:rPr>
          <w:rFonts w:cs="Times New Roman"/>
          <w:i/>
          <w:szCs w:val="24"/>
        </w:rPr>
      </w:pPr>
      <w:r w:rsidRPr="00386E61">
        <w:rPr>
          <w:rFonts w:cs="Times New Roman"/>
          <w:szCs w:val="24"/>
        </w:rPr>
        <w:t>«</w:t>
      </w:r>
      <w:r w:rsidRPr="00386E61">
        <w:rPr>
          <w:rFonts w:cs="Times New Roman"/>
          <w:i/>
          <w:szCs w:val="24"/>
        </w:rPr>
        <w:t xml:space="preserve">11-ter. (Marchio storico di interesse nazionale) </w:t>
      </w:r>
    </w:p>
    <w:p w:rsidR="00C7039C" w:rsidRPr="00386E61" w:rsidRDefault="00C7039C" w:rsidP="00C7039C">
      <w:pPr>
        <w:ind w:left="284"/>
        <w:rPr>
          <w:rFonts w:cs="Times New Roman"/>
          <w:szCs w:val="24"/>
        </w:rPr>
      </w:pPr>
      <w:r w:rsidRPr="00386E61">
        <w:rPr>
          <w:rFonts w:cs="Times New Roman"/>
          <w:szCs w:val="24"/>
        </w:rPr>
        <w:t>1. I titolari o licenziatari esclusivi di marchi d’impresa registrati da almeno cinquanta anni o per i quali sia possibile dimostrare l’uso continuativo da almeno cinquanta anni, utilizzati per la commercializzazione di prodotti o servizi realizzati in un’impresa produttiva nazionale di eccellenza storicamente collegata al territorio nazionale,  possono ottenere l’iscrizione del marchio nel registro dei marchi storici di interesse nazionale di cui all’articolo 185-</w:t>
      </w:r>
      <w:r w:rsidRPr="00386E61">
        <w:rPr>
          <w:rFonts w:cs="Times New Roman"/>
          <w:i/>
          <w:szCs w:val="24"/>
        </w:rPr>
        <w:t>bis</w:t>
      </w:r>
      <w:r w:rsidRPr="00386E61">
        <w:rPr>
          <w:rFonts w:cs="Times New Roman"/>
          <w:szCs w:val="24"/>
        </w:rPr>
        <w:t>.</w:t>
      </w:r>
    </w:p>
    <w:p w:rsidR="00C7039C" w:rsidRPr="00386E61" w:rsidRDefault="00C7039C" w:rsidP="00C7039C">
      <w:pPr>
        <w:ind w:left="284"/>
        <w:rPr>
          <w:rFonts w:cs="Times New Roman"/>
          <w:szCs w:val="24"/>
        </w:rPr>
      </w:pPr>
      <w:r w:rsidRPr="00386E61">
        <w:rPr>
          <w:rFonts w:cs="Times New Roman"/>
          <w:szCs w:val="24"/>
        </w:rPr>
        <w:t>2. Con decreto del Ministro dello sviluppo economico è istituito il logo “Marchio storico di interesse nazionale” che le imprese iscritte nel registro di cui all’art. 185-bis, possono utilizzare per le finalità commerciali e promozionali. Con il decreto di cui al primo periodo sono altresì specificati i criteri per l’utilizzo del logo “Marchio storico di interesse nazionale”</w:t>
      </w:r>
      <w:r w:rsidRPr="00386E61">
        <w:rPr>
          <w:rFonts w:cs="Times New Roman"/>
          <w:i/>
          <w:szCs w:val="24"/>
        </w:rPr>
        <w:t>.</w:t>
      </w:r>
      <w:r w:rsidRPr="00386E61">
        <w:rPr>
          <w:rFonts w:cs="Times New Roman"/>
          <w:szCs w:val="24"/>
        </w:rPr>
        <w:t>»;</w:t>
      </w:r>
    </w:p>
    <w:p w:rsidR="00C7039C" w:rsidRPr="00386E61" w:rsidRDefault="00C7039C" w:rsidP="00C7039C">
      <w:pPr>
        <w:ind w:left="284"/>
        <w:rPr>
          <w:rFonts w:cs="Times New Roman"/>
          <w:szCs w:val="24"/>
        </w:rPr>
      </w:pPr>
      <w:r w:rsidRPr="00386E61">
        <w:rPr>
          <w:rFonts w:cs="Times New Roman"/>
          <w:szCs w:val="24"/>
        </w:rPr>
        <w:t xml:space="preserve">b) Dopo l’articolo 185 sono inseriti i seguenti articoli: </w:t>
      </w:r>
    </w:p>
    <w:p w:rsidR="00C7039C" w:rsidRPr="00386E61" w:rsidRDefault="00C7039C" w:rsidP="00C7039C">
      <w:pPr>
        <w:ind w:left="284"/>
        <w:rPr>
          <w:rFonts w:cs="Times New Roman"/>
          <w:i/>
          <w:szCs w:val="24"/>
        </w:rPr>
      </w:pPr>
      <w:r w:rsidRPr="00386E61">
        <w:rPr>
          <w:rFonts w:cs="Times New Roman"/>
          <w:szCs w:val="24"/>
        </w:rPr>
        <w:t>«</w:t>
      </w:r>
      <w:r w:rsidRPr="00386E61">
        <w:rPr>
          <w:rFonts w:cs="Times New Roman"/>
          <w:i/>
          <w:szCs w:val="24"/>
        </w:rPr>
        <w:t>185-bis (Registro speciale dei marchi storici di interesse nazionale)</w:t>
      </w:r>
    </w:p>
    <w:p w:rsidR="00C7039C" w:rsidRPr="00386E61" w:rsidRDefault="00C7039C" w:rsidP="00C7039C">
      <w:pPr>
        <w:ind w:left="284"/>
        <w:rPr>
          <w:rFonts w:cs="Times New Roman"/>
          <w:szCs w:val="24"/>
        </w:rPr>
      </w:pPr>
      <w:r w:rsidRPr="00386E61">
        <w:rPr>
          <w:rFonts w:cs="Times New Roman"/>
          <w:szCs w:val="24"/>
        </w:rPr>
        <w:t>1. È istituito, presso l’Ufficio italiano brevetti e marchi, il registro speciale dei marchi storici come definiti dall’articolo 11-ter.</w:t>
      </w:r>
    </w:p>
    <w:p w:rsidR="00C7039C" w:rsidRPr="00386E61" w:rsidRDefault="00C7039C" w:rsidP="00C7039C">
      <w:pPr>
        <w:ind w:left="284"/>
        <w:rPr>
          <w:rFonts w:cs="Times New Roman"/>
          <w:szCs w:val="24"/>
        </w:rPr>
      </w:pPr>
      <w:r w:rsidRPr="00386E61">
        <w:rPr>
          <w:rFonts w:cs="Times New Roman"/>
          <w:szCs w:val="24"/>
        </w:rPr>
        <w:t>2. L’iscrizione al registro speciale dei marchi storici è effettuata su istanza del titolare o del licenziatario esclusivo del marchio.</w:t>
      </w:r>
    </w:p>
    <w:p w:rsidR="00C7039C" w:rsidRPr="00386E61" w:rsidRDefault="00C7039C" w:rsidP="00C7039C">
      <w:pPr>
        <w:ind w:firstLine="284"/>
        <w:rPr>
          <w:rFonts w:cs="Times New Roman"/>
          <w:i/>
          <w:szCs w:val="24"/>
        </w:rPr>
      </w:pPr>
      <w:r w:rsidRPr="00386E61">
        <w:rPr>
          <w:rFonts w:cs="Times New Roman"/>
          <w:i/>
          <w:szCs w:val="24"/>
        </w:rPr>
        <w:t xml:space="preserve">185-ter (Valorizzazione dei marchi storici nelle crisi di impresa). </w:t>
      </w:r>
    </w:p>
    <w:p w:rsidR="00C7039C" w:rsidRPr="00386E61" w:rsidRDefault="00C7039C" w:rsidP="00C7039C">
      <w:pPr>
        <w:ind w:left="284"/>
        <w:rPr>
          <w:rFonts w:cs="Times New Roman"/>
          <w:szCs w:val="24"/>
        </w:rPr>
      </w:pPr>
      <w:r w:rsidRPr="00386E61">
        <w:rPr>
          <w:rFonts w:cs="Times New Roman"/>
          <w:szCs w:val="24"/>
        </w:rPr>
        <w:t>1. Al fine di salvaguardare i livelli occupazionali e la prosecuzione dell’attività produttiva sul territorio nazionale, è istituito presso il Ministero dello sviluppo economico il Fondo per la tutela dei marchi storici di interesse nazionale. Il predetto Fondo opera mediante interventi nel capitale di rischio delle imprese di cui al comma 2. Tali interventi sono effettuati a condizioni di mercato, nel rispetto di quanto previsto dalla Comunicazione della Commissione recante gli “Orientamenti sugli aiuti di Stato destinati a promuovere gli investimenti per il finanziamento del rischio (2014/C 19/04). Con decreto del Ministero dello sviluppo economico, di concerto con il Ministero del lavoro e delle politiche sociali, adottato ai sensi dell’art. 17, comma 3 della legge 23 agosto 1988, n. 400, sono stabilite le modalità e i criteri di gestione e di funzionamento del Fondo di cui al primo periodo.</w:t>
      </w:r>
    </w:p>
    <w:p w:rsidR="00C7039C" w:rsidRPr="00386E61" w:rsidRDefault="00C7039C" w:rsidP="00C7039C">
      <w:pPr>
        <w:ind w:left="284"/>
        <w:rPr>
          <w:rFonts w:cs="Times New Roman"/>
          <w:szCs w:val="24"/>
        </w:rPr>
      </w:pPr>
      <w:r w:rsidRPr="00386E61">
        <w:rPr>
          <w:rFonts w:cs="Times New Roman"/>
          <w:szCs w:val="24"/>
        </w:rPr>
        <w:t>2. L’impresa titolare o licenziataria di un marchio iscritto nel registro speciale di cui all’articolo 185-bis che intenda chiudere il sito produttivo di origine o comunque quello principale, per cessazione dell’attività svolta o per delocalizzazione della stessa al di fuori del territorio nazionale, con conseguente licenziamento collettivo, notifica senza ritardo al Ministero dello sviluppo economico le informazioni relative al progetto di chiusura o delocalizzazione dello stabilimento e, in particolare:</w:t>
      </w:r>
    </w:p>
    <w:p w:rsidR="00C7039C" w:rsidRPr="00386E61" w:rsidRDefault="00C7039C" w:rsidP="00C7039C">
      <w:pPr>
        <w:ind w:firstLine="284"/>
        <w:rPr>
          <w:rFonts w:cs="Times New Roman"/>
          <w:szCs w:val="24"/>
        </w:rPr>
      </w:pPr>
      <w:r w:rsidRPr="00386E61">
        <w:rPr>
          <w:rFonts w:cs="Times New Roman"/>
          <w:szCs w:val="24"/>
        </w:rPr>
        <w:t>a)</w:t>
      </w:r>
      <w:r w:rsidRPr="00386E61">
        <w:rPr>
          <w:rFonts w:cs="Times New Roman"/>
          <w:szCs w:val="24"/>
        </w:rPr>
        <w:tab/>
        <w:t>i motivi economici, finanziari o tecnici del progetto di chiusura o delocalizzazione;</w:t>
      </w:r>
    </w:p>
    <w:p w:rsidR="00C7039C" w:rsidRPr="00386E61" w:rsidRDefault="00C7039C" w:rsidP="00C7039C">
      <w:pPr>
        <w:ind w:left="284"/>
        <w:rPr>
          <w:rFonts w:cs="Times New Roman"/>
          <w:szCs w:val="24"/>
        </w:rPr>
      </w:pPr>
      <w:r w:rsidRPr="00386E61">
        <w:rPr>
          <w:rFonts w:cs="Times New Roman"/>
          <w:szCs w:val="24"/>
        </w:rPr>
        <w:t>b)</w:t>
      </w:r>
      <w:r w:rsidRPr="00386E61">
        <w:rPr>
          <w:rFonts w:cs="Times New Roman"/>
          <w:szCs w:val="24"/>
        </w:rPr>
        <w:tab/>
        <w:t>le azioni tese a ridurre gli impatti occupazionali attraverso, incentivi all’uscita, prepensionamenti, ricollocazione di dipendenti all’interno del gruppo;</w:t>
      </w:r>
    </w:p>
    <w:p w:rsidR="00C7039C" w:rsidRPr="00386E61" w:rsidRDefault="00C7039C" w:rsidP="00C7039C">
      <w:pPr>
        <w:ind w:firstLine="284"/>
        <w:rPr>
          <w:rFonts w:cs="Times New Roman"/>
          <w:szCs w:val="24"/>
        </w:rPr>
      </w:pPr>
      <w:r w:rsidRPr="00386E61">
        <w:rPr>
          <w:rFonts w:cs="Times New Roman"/>
          <w:szCs w:val="24"/>
        </w:rPr>
        <w:t>c)</w:t>
      </w:r>
      <w:r w:rsidRPr="00386E61">
        <w:rPr>
          <w:rFonts w:cs="Times New Roman"/>
          <w:szCs w:val="24"/>
        </w:rPr>
        <w:tab/>
        <w:t>le azioni che intende intraprendere per trovare un acquirente;</w:t>
      </w:r>
    </w:p>
    <w:p w:rsidR="00C7039C" w:rsidRPr="00386E61" w:rsidRDefault="00C7039C" w:rsidP="00C7039C">
      <w:pPr>
        <w:ind w:left="284"/>
        <w:rPr>
          <w:rFonts w:cs="Times New Roman"/>
          <w:szCs w:val="24"/>
        </w:rPr>
      </w:pPr>
      <w:r w:rsidRPr="00386E61">
        <w:rPr>
          <w:rFonts w:cs="Times New Roman"/>
          <w:szCs w:val="24"/>
        </w:rPr>
        <w:t>d)</w:t>
      </w:r>
      <w:r w:rsidRPr="00386E61">
        <w:rPr>
          <w:rFonts w:cs="Times New Roman"/>
          <w:szCs w:val="24"/>
        </w:rPr>
        <w:tab/>
        <w:t>le opportunità per i dipendenti di presentare un’offerta pubblica di acquisto ed ogni altra possibilità di recupero degli asset da parte degli stessi.</w:t>
      </w:r>
    </w:p>
    <w:p w:rsidR="00C7039C" w:rsidRPr="00386E61" w:rsidRDefault="00C7039C" w:rsidP="00C7039C">
      <w:pPr>
        <w:ind w:left="284"/>
        <w:rPr>
          <w:rFonts w:cs="Times New Roman"/>
          <w:szCs w:val="24"/>
        </w:rPr>
      </w:pPr>
      <w:r w:rsidRPr="00386E61">
        <w:rPr>
          <w:rFonts w:cs="Times New Roman"/>
          <w:szCs w:val="24"/>
        </w:rPr>
        <w:t xml:space="preserve">3. A seguito dell’informativa di cui al comma 2, il Ministero dello sviluppo economico avvia il procedimento per l’individuazione degli interventi mediante le risorse del Fondo di cui al comma 1.”. </w:t>
      </w:r>
    </w:p>
    <w:p w:rsidR="00C7039C" w:rsidRPr="00386E61" w:rsidRDefault="00C7039C" w:rsidP="00C7039C">
      <w:pPr>
        <w:ind w:left="284"/>
        <w:rPr>
          <w:rFonts w:cs="Times New Roman"/>
          <w:szCs w:val="24"/>
        </w:rPr>
      </w:pPr>
      <w:r w:rsidRPr="00386E61">
        <w:rPr>
          <w:rFonts w:cs="Times New Roman"/>
          <w:szCs w:val="24"/>
        </w:rPr>
        <w:t>4. La violazione degli obblighi informativi di cui al comma 2 comporta l’applicazione di una sanzione amministrativa pecuniaria nei confronti del titolare dell’impresa titolare o licenziataria esclusiva del marchio da € 5.000 ad € 50.000.</w:t>
      </w:r>
    </w:p>
    <w:p w:rsidR="00C7039C" w:rsidRPr="00386E61" w:rsidRDefault="00C7039C" w:rsidP="00C7039C">
      <w:pPr>
        <w:rPr>
          <w:rFonts w:cs="Times New Roman"/>
          <w:szCs w:val="24"/>
        </w:rPr>
      </w:pPr>
      <w:r w:rsidRPr="00386E61">
        <w:rPr>
          <w:rFonts w:cs="Times New Roman"/>
          <w:szCs w:val="24"/>
        </w:rPr>
        <w:t>3. Per le finalità di cui al presente articolo sono destinati 30 milioni di euro a valere sulle disponibilità per il 2020 del Fondo per lo sviluppo e la coesione di cui all’articolo 4 del decreto legislativo 31 maggio 2011, n. 88. Per le medesime finalità di cui al presente articolo, relativamente alle operazioni finalizzate al finanziamento di progetti di valorizzazione economica dei marchi storici di interesse nazionale, le PMI proprietarie o licenziatarie del marchio storico possono accedere alla garanzia del Fondo di garanzia per le piccole e medie imprese di cui all’articolo 2, comma 100, lettera a), della legge 23 dicembre 1996, n. 662. Con decreto del Ministero dello sviluppo economico, di concerto col Ministero dell’economia e delle finanze, sono stabiliti le modalità, le condizioni e i limiti per la concessione della garanzia.</w:t>
      </w:r>
    </w:p>
    <w:p w:rsidR="00E13911" w:rsidRPr="00E13911" w:rsidRDefault="00C7039C" w:rsidP="00E13911">
      <w:pPr>
        <w:rPr>
          <w:color w:val="FF0000"/>
          <w:szCs w:val="24"/>
        </w:rPr>
      </w:pPr>
      <w:r w:rsidRPr="00386E61">
        <w:rPr>
          <w:rFonts w:cs="Times New Roman"/>
          <w:szCs w:val="24"/>
        </w:rPr>
        <w:t xml:space="preserve">4. Al fine dello svolgimento dei nuovi incrementali adempimenti, il Ministero dello sviluppo economico è autorizzato ad assumere a tempo indeterminato dieci unità da inquadrare nell’area III, posizione economica F1, selezionate attraverso apposito concorso pubblico, in possesso dei specifici requisiti professionali necessari all’espletamento dei nuovi compiti operativi. Le assunzioni sono effettuate in deroga agli articoli 30, comma 2-bis e 35, comma 4, del decreto legislativo 30 marzo 2001, n. 165, e all’articolo 4, commi 3 e 3-quinquies, del decreto legge 31 agosto 2013, n.101, convertito con modificazioni, dalla legge 30 ottobre 2013, n.125. </w:t>
      </w:r>
      <w:r w:rsidR="00E13911" w:rsidRPr="00E13911">
        <w:rPr>
          <w:color w:val="FF0000"/>
          <w:szCs w:val="24"/>
        </w:rPr>
        <w:t>Agli oneri derivanti dal presente comma pari euro 400.000, 00 a decorrere dall’anno 2020 si  provvede, mediante corrispondente riduzione delle proiezioni dello stanziamento del fondo speciale di parte corrente iscritto, ai fini del bilancio triennale 2019-2021, nell'ambito del programma "Fondi di riserva e speciali" della missione "Fondi da ripartire" dello stato di previsione del Ministero dell'economia e delle finanze per l'anno 2019 , allo scopo utilizzando parzialmente l'accantonamento relativo al Ministero dello sviluppo economico.</w:t>
      </w:r>
    </w:p>
    <w:p w:rsidR="00C7039C" w:rsidRPr="00386E61" w:rsidRDefault="00C7039C" w:rsidP="00C7039C">
      <w:pPr>
        <w:rPr>
          <w:rFonts w:cs="Times New Roman"/>
          <w:szCs w:val="24"/>
        </w:rPr>
      </w:pPr>
    </w:p>
    <w:p w:rsidR="00C7039C" w:rsidRPr="00D50229" w:rsidRDefault="00C7039C" w:rsidP="00BF7289">
      <w:pPr>
        <w:jc w:val="center"/>
        <w:rPr>
          <w:rFonts w:cs="Times New Roman"/>
          <w:b/>
          <w:szCs w:val="24"/>
        </w:rPr>
      </w:pPr>
      <w:r w:rsidRPr="00D50229">
        <w:rPr>
          <w:rFonts w:cs="Times New Roman"/>
          <w:b/>
          <w:szCs w:val="24"/>
        </w:rPr>
        <w:t>Relazione illustrativa</w:t>
      </w:r>
    </w:p>
    <w:p w:rsidR="00C7039C" w:rsidRPr="00386E61" w:rsidRDefault="00C7039C" w:rsidP="00C7039C">
      <w:pPr>
        <w:rPr>
          <w:rFonts w:cs="Times New Roman"/>
          <w:szCs w:val="24"/>
        </w:rPr>
      </w:pPr>
      <w:r w:rsidRPr="00386E61">
        <w:rPr>
          <w:rFonts w:cs="Times New Roman"/>
          <w:szCs w:val="24"/>
        </w:rPr>
        <w:t>La cronaca economico-finanziaria di questi anni mostra che più volte marchi storici italiani sono diventati facile preda di soggetti esteri, che, una volta ottenuta la proprietà dei marchi, hanno poi diluito, se non annullato, l’italianità dei prodotti contraddisti da quei brand, chiudendo gli stabilimenti produttivi in Italia e spostando la produzione all’estero. Tale fenomeno, nel tempo, impatta sulla ricchezza del Paese con rilevanti conseguenze sul piano occupazionale.</w:t>
      </w:r>
    </w:p>
    <w:p w:rsidR="00C7039C" w:rsidRPr="00386E61" w:rsidRDefault="00C7039C" w:rsidP="00C7039C">
      <w:pPr>
        <w:rPr>
          <w:rFonts w:cs="Times New Roman"/>
          <w:szCs w:val="24"/>
        </w:rPr>
      </w:pPr>
      <w:r w:rsidRPr="00386E61">
        <w:rPr>
          <w:rFonts w:cs="Times New Roman"/>
          <w:szCs w:val="24"/>
        </w:rPr>
        <w:t>L’intervento, valorizzando, su ispirazione tratta dalla disciplina prevista per i beni culturali, la rilevanza della storicità dei marchi detenuti da aziende italiane, prevede che gli stessi confluiscano in un apposito Registro e mira a disincentivare iniziative che prevedano la chiusura degli stabilimenti produttivi delle imprese titolari di marchi storici, con eventuale delocalizzazione all’estero, salvaguardando i relativi posti di lavoro.</w:t>
      </w:r>
    </w:p>
    <w:p w:rsidR="00C7039C" w:rsidRPr="00386E61" w:rsidRDefault="00C7039C" w:rsidP="00C7039C">
      <w:pPr>
        <w:rPr>
          <w:rFonts w:cs="Times New Roman"/>
          <w:szCs w:val="24"/>
        </w:rPr>
      </w:pPr>
      <w:r w:rsidRPr="00386E61">
        <w:rPr>
          <w:rFonts w:cs="Times New Roman"/>
          <w:szCs w:val="24"/>
        </w:rPr>
        <w:t>A tal fine si prevede anzitutto l’introduzione di disposizioni ad hoc all’interno del Dlgs. 10 febbraio 2005, n. 30 (Codice della proprietà industriale) volte a far emergere i marchi storici, definiti, ai sensi del nuovo articolo 11-ter del CPA, come “</w:t>
      </w:r>
      <w:r w:rsidRPr="00386E61">
        <w:rPr>
          <w:rFonts w:cs="Times New Roman"/>
          <w:sz w:val="24"/>
          <w:szCs w:val="24"/>
        </w:rPr>
        <w:t>marchi d’impresa registrati da almeno cinquanta anni o per i quali sia possibile dimostrare l’uso continuativo da almeno cinquanta anni, aventi un’unità produttiva localizzata nel territorio nazionale”</w:t>
      </w:r>
      <w:r w:rsidRPr="00386E61">
        <w:rPr>
          <w:rFonts w:cs="Times New Roman"/>
          <w:szCs w:val="24"/>
        </w:rPr>
        <w:t>.</w:t>
      </w:r>
    </w:p>
    <w:p w:rsidR="00C7039C" w:rsidRPr="00386E61" w:rsidRDefault="00C7039C" w:rsidP="00C7039C">
      <w:pPr>
        <w:rPr>
          <w:rFonts w:cs="Times New Roman"/>
          <w:szCs w:val="24"/>
        </w:rPr>
      </w:pPr>
      <w:r w:rsidRPr="00386E61">
        <w:rPr>
          <w:rFonts w:cs="Times New Roman"/>
          <w:szCs w:val="24"/>
        </w:rPr>
        <w:t>I titolari e licenziatari di marchi storici potranno utilizzare il logo “marchio storico di interesse nazionale” per finalità commerciali e promozionali, così valorizzando i propri marchi. Il logo avrà verosimilmente impatto sulle scelte dei consumatori, evidenziando adeguatamente la storicità di marchi italiani.</w:t>
      </w:r>
    </w:p>
    <w:p w:rsidR="00C7039C" w:rsidRPr="00BF7289" w:rsidRDefault="00C7039C" w:rsidP="00C7039C">
      <w:pPr>
        <w:rPr>
          <w:rFonts w:cs="Times New Roman"/>
        </w:rPr>
      </w:pPr>
      <w:r w:rsidRPr="00BF7289">
        <w:rPr>
          <w:rFonts w:cs="Times New Roman"/>
        </w:rPr>
        <w:t>Ai sensi del nuovo art. 185-bis CPA è istituito presso l’Ufficio Italiano Brevetti e Marchi del registro speciale dei marchi storici di interesse nazionale sul quale sono iscritti i marchi storici su istanza dei titolari o dei licenziatari esclusivi.</w:t>
      </w:r>
    </w:p>
    <w:p w:rsidR="00C7039C" w:rsidRPr="00BF7289" w:rsidRDefault="00C7039C" w:rsidP="00C7039C">
      <w:pPr>
        <w:rPr>
          <w:rFonts w:cs="Times New Roman"/>
        </w:rPr>
      </w:pPr>
      <w:r w:rsidRPr="00BF7289">
        <w:rPr>
          <w:rFonts w:cs="Times New Roman"/>
        </w:rPr>
        <w:t>È introdotto infine l’art. 185-ter che prevede un apposito Fondo per la tutela dei marchi storici presso il Ministero dello Sviluppo Economico. Il Fondo opera mediante interventi nel capitale di rischio delle imprese. Tali interventi sono effettuati a condizioni di mercato, nel rispetto di quanto previsto dalla Comunicazione della Commissione recante gli “Orientamenti sugli aiuti di Stato destinati a promuovere gli investimenti per il finanziamento del rischio (2014/C 19/04).</w:t>
      </w:r>
    </w:p>
    <w:p w:rsidR="00C7039C" w:rsidRPr="00BF7289" w:rsidRDefault="00C7039C" w:rsidP="00C7039C">
      <w:pPr>
        <w:rPr>
          <w:rFonts w:cs="Times New Roman"/>
        </w:rPr>
      </w:pPr>
      <w:r w:rsidRPr="00BF7289">
        <w:rPr>
          <w:rFonts w:cs="Times New Roman"/>
        </w:rPr>
        <w:t>Inoltre, viene prevista una procedura al fine di salvaguardare i livelli occupazionali e la prosecuzione dell’attività produttiva sul territorio nazionale dell’impresa titolare o licenziataria di un marchio iscritto nel registro speciale dei marchi storici di interesse nazionale che intenda cessare l’attività svolta o delocalizzare la stessa al di fuori del territorio nazionale. A tal fine l’impresa deve notificare senza ritardo al Ministero dello sviluppo economico le informazioni relative al progetto di chiusura o delocalizzazione dello stabilimento. Il Ministero dello Sviluppo Economico e l’impresa procedono all’individuazione di un soggetto acquirente o, in caso negativo, di interventi per la reindustrializzazione e l’utilizzo delle risorse del Fondo.</w:t>
      </w:r>
    </w:p>
    <w:p w:rsidR="00C7039C" w:rsidRPr="00D50229" w:rsidRDefault="00C7039C" w:rsidP="00C7039C">
      <w:pPr>
        <w:rPr>
          <w:rFonts w:cs="Times New Roman"/>
          <w:szCs w:val="24"/>
        </w:rPr>
      </w:pPr>
    </w:p>
    <w:p w:rsidR="00C7039C" w:rsidRPr="00D50229" w:rsidRDefault="00C7039C" w:rsidP="00BF7289">
      <w:pPr>
        <w:jc w:val="center"/>
        <w:rPr>
          <w:rFonts w:cs="Times New Roman"/>
          <w:b/>
          <w:szCs w:val="24"/>
        </w:rPr>
      </w:pPr>
      <w:r w:rsidRPr="00D50229">
        <w:rPr>
          <w:rFonts w:cs="Times New Roman"/>
          <w:b/>
          <w:szCs w:val="24"/>
        </w:rPr>
        <w:t>Relazione tecnica</w:t>
      </w:r>
    </w:p>
    <w:p w:rsidR="00C7039C" w:rsidRPr="00D50229" w:rsidRDefault="00C7039C" w:rsidP="00C7039C">
      <w:pPr>
        <w:rPr>
          <w:rFonts w:cs="Times New Roman"/>
          <w:szCs w:val="24"/>
        </w:rPr>
      </w:pPr>
      <w:r w:rsidRPr="00D50229">
        <w:rPr>
          <w:rFonts w:cs="Times New Roman"/>
          <w:szCs w:val="24"/>
        </w:rPr>
        <w:t>Si prevede l’istituzione presso il Ministero dello Sviluppo Economico di un Fondo per la tutela dei marchi storici con una dotazione iniziale di euro 30 milioni. Per le medesime finalità, nell’ambito del Fondo di garanzia per le piccole e medie imprese di cui all’articolo 2, comma 100, lettera a), della legge 23 dicembre 1996, n. 662, è istituita, con una dotazione finanziaria iniziale di euro cento milioni, una sezione speciale per la prestazione di garanzie a condizioni di mercato. Con Decreto del Ministero dello Sviluppo Economico, di concerto col Ministero dell’Economia e delle Finanze, sono stabilite le modalità di funzionamento dei fondi di cui al presente comma e di erogazione della garanzia.</w:t>
      </w:r>
    </w:p>
    <w:p w:rsidR="00C7039C" w:rsidRPr="00386E61" w:rsidRDefault="00C7039C" w:rsidP="00C7039C">
      <w:pPr>
        <w:rPr>
          <w:rFonts w:cs="Times New Roman"/>
          <w:szCs w:val="24"/>
        </w:rPr>
      </w:pPr>
      <w:r w:rsidRPr="00D50229">
        <w:rPr>
          <w:rFonts w:cs="Times New Roman"/>
          <w:szCs w:val="24"/>
        </w:rPr>
        <w:t>Al fine dello svolgimento dei nuovi incrementali adempimenti - e in particolare per la dematerializzazione e la ricerca archivistica della documentazione risalente relativa ai marchi storici  - il Ministero dello sviluppo economico è autorizzato ad assumere a tempo indeterminato dieci unità da inquadrare nell’area III, posizione economica F1, selezionate attraverso apposito concorso pubblico, in possesso dei specifici requisiti professionali necessari all’espletamento dei nuovi compiti operativi, da assegnare alla DG Lotta alla Contraffazione  - Ufficio Italiano Brevetti Marchi  per le funzioni correlate al registro ed alle procedure relative ai marchi storici. Le assunzioni sono effettuate in deroga agli articoli 30, comma 2-bis e 35, comma 4, del decreto legislativo 30 marzo 2001, n. 165, e all’articolo 4, commi 3 e 3-quinquies, del decreto legge 31 agosto 2013, n.101, convertito con modificazioni, dalla legge 30 ottobre 2013, n.125. Agli oneri quantificati in euro 400.000,00 per anno, a decorrere dall’annualità 2020, si provvede mediante utilizzo di quota parte delle entrate previste dall’articolo 1, comma 851, della legge 27 dicembre 2006, n. 296. A tal fine, all’ultimo periodo del citato articolo 1, comma 851, della legge 27 dicembre 2006, n. 296, così come modificato dal decreto legislativo 20 febbraio 2019, n.15, le parole “di 51,2 milioni di euro per l’anno 2020 e di 50 milioni di euro a decorrere dall’anno 2021” sono sostituite dalle seguenti: “di 51,6 milioni di euro per l’anno 2020 e di 50,4 milioni di euro a decorrere dall’anno 2021”.</w:t>
      </w:r>
    </w:p>
    <w:p w:rsidR="00455BED" w:rsidRPr="002279E2" w:rsidRDefault="00455BED" w:rsidP="00612935">
      <w:pPr>
        <w:rPr>
          <w:rFonts w:cs="Times New Roman"/>
          <w:sz w:val="24"/>
          <w:szCs w:val="24"/>
        </w:rPr>
      </w:pPr>
    </w:p>
    <w:p w:rsidR="00455BED" w:rsidRPr="002279E2" w:rsidRDefault="00455BED" w:rsidP="009A6E96">
      <w:pPr>
        <w:pStyle w:val="Titolo2"/>
      </w:pPr>
      <w:bookmarkStart w:id="65" w:name="_Toc4174460"/>
      <w:bookmarkStart w:id="66" w:name="_Toc6937362"/>
      <w:r w:rsidRPr="002279E2">
        <w:t>Art</w:t>
      </w:r>
      <w:r w:rsidR="006B325F" w:rsidRPr="002279E2">
        <w:t>icolo</w:t>
      </w:r>
      <w:r w:rsidRPr="002279E2">
        <w:t xml:space="preserve"> </w:t>
      </w:r>
      <w:r w:rsidR="006D2349" w:rsidRPr="002279E2">
        <w:t>3</w:t>
      </w:r>
      <w:r w:rsidR="00E97E40">
        <w:t>2</w:t>
      </w:r>
      <w:r w:rsidR="002475BF" w:rsidRPr="002279E2">
        <w:br/>
      </w:r>
      <w:r w:rsidRPr="002279E2">
        <w:t>(</w:t>
      </w:r>
      <w:r w:rsidR="007D6FCA" w:rsidRPr="002279E2">
        <w:t>Contrasto all’Italian sounding e incentivi al deposito di brevetti e marchi)</w:t>
      </w:r>
      <w:bookmarkEnd w:id="65"/>
      <w:bookmarkEnd w:id="66"/>
    </w:p>
    <w:p w:rsidR="00C7039C" w:rsidRPr="00BF7289" w:rsidRDefault="00C7039C" w:rsidP="00C7039C">
      <w:pPr>
        <w:rPr>
          <w:rFonts w:cs="Times New Roman"/>
          <w:color w:val="auto"/>
        </w:rPr>
      </w:pPr>
      <w:r>
        <w:rPr>
          <w:rFonts w:cs="Times New Roman"/>
          <w:szCs w:val="24"/>
        </w:rPr>
        <w:t>1</w:t>
      </w:r>
      <w:r w:rsidRPr="00386E61">
        <w:rPr>
          <w:rFonts w:cs="Times New Roman"/>
          <w:szCs w:val="24"/>
        </w:rPr>
        <w:t xml:space="preserve">. Ai consorzi nazionali che operano nei mercati esteri al fine di assicurare la tutela dell’originalità dei prodotti italiani, ivi inclusi quelli agroalimentari, venduti all’estero, è concessa un’agevolazione pari al 50 per cento delle spese sostenute per la tutela legale dei propri prodotti colpiti dal fenomeno </w:t>
      </w:r>
      <w:r w:rsidRPr="00D50229">
        <w:rPr>
          <w:rFonts w:cs="Times New Roman"/>
          <w:i/>
          <w:szCs w:val="24"/>
        </w:rPr>
        <w:t>dell’Italian Sounding</w:t>
      </w:r>
      <w:r w:rsidRPr="00386E61">
        <w:rPr>
          <w:rFonts w:cs="Times New Roman"/>
          <w:szCs w:val="24"/>
        </w:rPr>
        <w:t>, di cui all’articolo 114 del decreto legislativo 10 febbraio 2005, n. 30, recante Codice della proprietà industriale. L’agevolazione è concessa fino ad un importo massimo annuale per soggetto beneficiario di euro 30.000,00</w:t>
      </w:r>
      <w:r w:rsidR="00376D75">
        <w:rPr>
          <w:rFonts w:cs="Times New Roman"/>
          <w:szCs w:val="24"/>
        </w:rPr>
        <w:t xml:space="preserve"> </w:t>
      </w:r>
      <w:r w:rsidR="00376D75" w:rsidRPr="00BF7289">
        <w:rPr>
          <w:color w:val="auto"/>
        </w:rPr>
        <w:t xml:space="preserve">e comunque nel limite annuo di cui al comma </w:t>
      </w:r>
      <w:r w:rsidR="00081ADE" w:rsidRPr="00BF7289">
        <w:rPr>
          <w:color w:val="auto"/>
        </w:rPr>
        <w:t>3.</w:t>
      </w:r>
    </w:p>
    <w:p w:rsidR="00C7039C" w:rsidRPr="00386E61" w:rsidRDefault="00C7039C" w:rsidP="00C7039C">
      <w:pPr>
        <w:rPr>
          <w:rFonts w:cs="Times New Roman"/>
          <w:szCs w:val="24"/>
        </w:rPr>
      </w:pPr>
      <w:r>
        <w:rPr>
          <w:rFonts w:cs="Times New Roman"/>
          <w:szCs w:val="24"/>
        </w:rPr>
        <w:t>2</w:t>
      </w:r>
      <w:r w:rsidRPr="00386E61">
        <w:rPr>
          <w:rFonts w:cs="Times New Roman"/>
          <w:szCs w:val="24"/>
        </w:rPr>
        <w:t>. Con decreto del Ministro dello sviluppo economico</w:t>
      </w:r>
      <w:r w:rsidR="00491D5C">
        <w:rPr>
          <w:rFonts w:cs="Times New Roman"/>
          <w:color w:val="FF0000"/>
          <w:szCs w:val="24"/>
        </w:rPr>
        <w:t xml:space="preserve"> </w:t>
      </w:r>
      <w:r w:rsidR="00491D5C" w:rsidRPr="00BF7289">
        <w:rPr>
          <w:rFonts w:cs="Times New Roman"/>
          <w:color w:val="auto"/>
          <w:szCs w:val="24"/>
        </w:rPr>
        <w:t>di concerto con il Ministro dell’economia e delle finanze</w:t>
      </w:r>
      <w:r w:rsidRPr="00BF7289">
        <w:rPr>
          <w:rFonts w:cs="Times New Roman"/>
          <w:color w:val="auto"/>
          <w:szCs w:val="24"/>
        </w:rPr>
        <w:t xml:space="preserve"> </w:t>
      </w:r>
      <w:r w:rsidRPr="00386E61">
        <w:rPr>
          <w:rFonts w:cs="Times New Roman"/>
          <w:szCs w:val="24"/>
        </w:rPr>
        <w:t>sono stabilite le disposizioni di attuazione, ivi inclusa l’indicazione delle spese ammissibili, nonché le modalità’ di verifi</w:t>
      </w:r>
      <w:r w:rsidR="00081ADE">
        <w:rPr>
          <w:rFonts w:cs="Times New Roman"/>
          <w:szCs w:val="24"/>
        </w:rPr>
        <w:t>ca e controllo dell’effettività</w:t>
      </w:r>
      <w:r w:rsidRPr="00386E61">
        <w:rPr>
          <w:rFonts w:cs="Times New Roman"/>
          <w:szCs w:val="24"/>
        </w:rPr>
        <w:t xml:space="preserve"> delle spese sostenute, le cause di decadenza e revoca del beneficio, le modalità di restituzione delle agevolazioni fruite indebitamente.</w:t>
      </w:r>
    </w:p>
    <w:p w:rsidR="000866CF" w:rsidRPr="00E42D36" w:rsidRDefault="00BD7572" w:rsidP="000866CF">
      <w:pPr>
        <w:rPr>
          <w:color w:val="auto"/>
          <w:szCs w:val="24"/>
        </w:rPr>
      </w:pPr>
      <w:r>
        <w:rPr>
          <w:rFonts w:cs="Times New Roman"/>
          <w:szCs w:val="24"/>
        </w:rPr>
        <w:t>3</w:t>
      </w:r>
      <w:r w:rsidR="00C7039C" w:rsidRPr="008355EC">
        <w:rPr>
          <w:rFonts w:cs="Times New Roman"/>
          <w:szCs w:val="24"/>
        </w:rPr>
        <w:t xml:space="preserve">. Per l’attuazione del comma </w:t>
      </w:r>
      <w:r w:rsidR="00E42D36">
        <w:rPr>
          <w:rFonts w:cs="Times New Roman"/>
          <w:szCs w:val="24"/>
        </w:rPr>
        <w:t>1</w:t>
      </w:r>
      <w:r w:rsidR="00C7039C" w:rsidRPr="008355EC">
        <w:rPr>
          <w:rFonts w:cs="Times New Roman"/>
          <w:szCs w:val="24"/>
        </w:rPr>
        <w:t xml:space="preserve"> è autorizzata la spesa di 1,5 milioni di euro a decorrere dall’anno 2019. </w:t>
      </w:r>
      <w:r w:rsidR="000866CF" w:rsidRPr="00E42D36">
        <w:rPr>
          <w:color w:val="auto"/>
          <w:szCs w:val="24"/>
        </w:rPr>
        <w:t>Agli oneri derivanti dal presente comma pari a 1,5 milioni di euro  annui a decorrere dall’anno 2019 si provvede mediante corrispondente riduzione  dello stanziamento del fondo speciale di parte corrente iscritto, ai fini del bilancio triennale 2019-2021 , nell'ambito del programma "Fondi di riserva e speciali" della missione "Fondi da ripartire" dello stato di previsione del Ministero dell'economia e delle finanze per l'anno 2019 , allo scopo utilizzando parzialmente l'accantonamento relativo al Ministero dello Sviluppo economico.</w:t>
      </w:r>
    </w:p>
    <w:p w:rsidR="00C7039C" w:rsidRPr="00386E61" w:rsidRDefault="00BD7572" w:rsidP="00C7039C">
      <w:pPr>
        <w:rPr>
          <w:rFonts w:cs="Times New Roman"/>
          <w:szCs w:val="24"/>
        </w:rPr>
      </w:pPr>
      <w:r>
        <w:rPr>
          <w:rFonts w:cs="Times New Roman"/>
          <w:szCs w:val="24"/>
        </w:rPr>
        <w:t>4</w:t>
      </w:r>
      <w:r w:rsidR="00C7039C" w:rsidRPr="00386E61">
        <w:rPr>
          <w:rFonts w:cs="Times New Roman"/>
          <w:szCs w:val="24"/>
        </w:rPr>
        <w:t>. All’articolo 10, del Codice della proprietà industriale, di cui al decreto legislativo 10 febbraio 2005, n. 30, sono apportate le seguenti modifiche:</w:t>
      </w:r>
    </w:p>
    <w:p w:rsidR="00C7039C" w:rsidRPr="00386E61" w:rsidRDefault="00C7039C" w:rsidP="00826FD7">
      <w:pPr>
        <w:pStyle w:val="Paragrafoelenco"/>
        <w:numPr>
          <w:ilvl w:val="0"/>
          <w:numId w:val="10"/>
        </w:numPr>
        <w:spacing w:after="0" w:line="240" w:lineRule="auto"/>
        <w:rPr>
          <w:rFonts w:ascii="Times New Roman" w:hAnsi="Times New Roman"/>
          <w:szCs w:val="24"/>
          <w:lang w:val="it-IT"/>
        </w:rPr>
      </w:pPr>
      <w:r w:rsidRPr="00386E61">
        <w:rPr>
          <w:rFonts w:ascii="Times New Roman" w:hAnsi="Times New Roman"/>
          <w:szCs w:val="24"/>
          <w:lang w:val="it-IT"/>
        </w:rPr>
        <w:t>al comma 1, dopo le parole “simboli, emblemi e stemmi che rivestano un interesse pubblico” sono aggiunte le seguenti: “inclusi i segni riconducibili alle forze dell’ordine e alle forze armate e i nomi di Stati e di enti pubblici territoriali italiani”.</w:t>
      </w:r>
    </w:p>
    <w:p w:rsidR="00C7039C" w:rsidRPr="00386E61" w:rsidRDefault="00C7039C" w:rsidP="00826FD7">
      <w:pPr>
        <w:pStyle w:val="Paragrafoelenco"/>
        <w:numPr>
          <w:ilvl w:val="0"/>
          <w:numId w:val="10"/>
        </w:numPr>
        <w:spacing w:after="0" w:line="240" w:lineRule="auto"/>
        <w:rPr>
          <w:rFonts w:ascii="Times New Roman" w:hAnsi="Times New Roman"/>
          <w:szCs w:val="24"/>
          <w:lang w:val="it-IT"/>
        </w:rPr>
      </w:pPr>
      <w:r w:rsidRPr="00386E61">
        <w:rPr>
          <w:rFonts w:ascii="Times New Roman" w:hAnsi="Times New Roman"/>
          <w:szCs w:val="24"/>
          <w:lang w:val="it-IT"/>
        </w:rPr>
        <w:t>dopo il comma 1, è aggiunto il seguente comma 1-bis: “Non possono altresì formare oggetto di registrazione parole, figure o segni lesivi dell’immagine o della reputazione dell’Italia”.</w:t>
      </w:r>
    </w:p>
    <w:p w:rsidR="00C7039C" w:rsidRPr="00386E61" w:rsidRDefault="00BD7572" w:rsidP="00C7039C">
      <w:pPr>
        <w:rPr>
          <w:rFonts w:cs="Times New Roman"/>
          <w:szCs w:val="24"/>
        </w:rPr>
      </w:pPr>
      <w:r>
        <w:rPr>
          <w:rFonts w:cs="Times New Roman"/>
          <w:szCs w:val="24"/>
        </w:rPr>
        <w:t xml:space="preserve">5. </w:t>
      </w:r>
      <w:r w:rsidR="00C7039C" w:rsidRPr="00386E61">
        <w:rPr>
          <w:rFonts w:cs="Times New Roman"/>
          <w:szCs w:val="24"/>
        </w:rPr>
        <w:t>All’articolo 114 del Codice della proprietà industriale sono apportate le seguenti modifiche:</w:t>
      </w:r>
    </w:p>
    <w:p w:rsidR="00C7039C" w:rsidRPr="00386E61" w:rsidRDefault="00C7039C" w:rsidP="00C7039C">
      <w:pPr>
        <w:rPr>
          <w:rFonts w:cs="Times New Roman"/>
          <w:szCs w:val="24"/>
        </w:rPr>
      </w:pPr>
      <w:r w:rsidRPr="00386E61">
        <w:rPr>
          <w:rFonts w:cs="Times New Roman"/>
          <w:szCs w:val="24"/>
        </w:rPr>
        <w:t xml:space="preserve">a) alla rubrica sono aggiunte infine le seguenti parole: “e pratiche di </w:t>
      </w:r>
      <w:r w:rsidRPr="00386E61">
        <w:rPr>
          <w:rFonts w:cs="Times New Roman"/>
          <w:i/>
          <w:szCs w:val="24"/>
        </w:rPr>
        <w:t>Italian Sounding</w:t>
      </w:r>
      <w:r w:rsidRPr="00386E61">
        <w:rPr>
          <w:rFonts w:cs="Times New Roman"/>
          <w:szCs w:val="24"/>
        </w:rPr>
        <w:t>”;</w:t>
      </w:r>
    </w:p>
    <w:p w:rsidR="00C7039C" w:rsidRPr="00386E61" w:rsidRDefault="00C7039C" w:rsidP="00C7039C">
      <w:pPr>
        <w:rPr>
          <w:rFonts w:cs="Times New Roman"/>
          <w:szCs w:val="24"/>
        </w:rPr>
      </w:pPr>
      <w:r w:rsidRPr="00386E61">
        <w:rPr>
          <w:rFonts w:cs="Times New Roman"/>
          <w:szCs w:val="24"/>
        </w:rPr>
        <w:t>b) dopo il comma 1 è aggiunto il seguente:</w:t>
      </w:r>
    </w:p>
    <w:p w:rsidR="00C7039C" w:rsidRPr="00386E61" w:rsidRDefault="00C7039C" w:rsidP="00C7039C">
      <w:pPr>
        <w:rPr>
          <w:rFonts w:cs="Times New Roman"/>
          <w:szCs w:val="24"/>
        </w:rPr>
      </w:pPr>
      <w:r w:rsidRPr="00386E61">
        <w:rPr>
          <w:rFonts w:cs="Times New Roman"/>
          <w:szCs w:val="24"/>
        </w:rPr>
        <w:t>“</w:t>
      </w:r>
      <w:r w:rsidRPr="00D50229">
        <w:rPr>
          <w:rFonts w:cs="Times New Roman"/>
          <w:szCs w:val="24"/>
        </w:rPr>
        <w:t>1</w:t>
      </w:r>
      <w:r w:rsidRPr="00386E61">
        <w:rPr>
          <w:rFonts w:cs="Times New Roman"/>
          <w:szCs w:val="24"/>
        </w:rPr>
        <w:t>-bis</w:t>
      </w:r>
      <w:r w:rsidRPr="00D50229">
        <w:rPr>
          <w:rFonts w:cs="Times New Roman"/>
          <w:szCs w:val="24"/>
        </w:rPr>
        <w:t xml:space="preserve">. Agli effetti delle norme contenute nella presente sezione sono </w:t>
      </w:r>
      <w:r w:rsidRPr="00386E61">
        <w:rPr>
          <w:rFonts w:cs="Times New Roman"/>
          <w:szCs w:val="24"/>
        </w:rPr>
        <w:t xml:space="preserve">pratiche di </w:t>
      </w:r>
      <w:r w:rsidRPr="00386E61">
        <w:rPr>
          <w:rFonts w:cs="Times New Roman"/>
          <w:i/>
          <w:szCs w:val="24"/>
        </w:rPr>
        <w:t xml:space="preserve">Italian Sounding </w:t>
      </w:r>
      <w:r w:rsidRPr="00386E61">
        <w:rPr>
          <w:rFonts w:cs="Times New Roman"/>
          <w:szCs w:val="24"/>
        </w:rPr>
        <w:t>le pratiche finalizzate alla falsa evocazione dell’origine italiana di prodotti”</w:t>
      </w:r>
    </w:p>
    <w:p w:rsidR="00C7039C" w:rsidRPr="00386E61" w:rsidRDefault="00BD7572" w:rsidP="00C7039C">
      <w:pPr>
        <w:rPr>
          <w:rFonts w:cs="Times New Roman"/>
          <w:szCs w:val="24"/>
        </w:rPr>
      </w:pPr>
      <w:r>
        <w:rPr>
          <w:rFonts w:cs="Times New Roman"/>
          <w:szCs w:val="24"/>
        </w:rPr>
        <w:t>6</w:t>
      </w:r>
      <w:r w:rsidR="00C7039C" w:rsidRPr="00386E61">
        <w:rPr>
          <w:rFonts w:cs="Times New Roman"/>
          <w:szCs w:val="24"/>
        </w:rPr>
        <w:t>. All’articolo 145 del codice di proprietà industriale, sono apportate le seguenti modificazioni:</w:t>
      </w:r>
    </w:p>
    <w:p w:rsidR="00C7039C" w:rsidRPr="00386E61" w:rsidRDefault="00C7039C" w:rsidP="00826FD7">
      <w:pPr>
        <w:pStyle w:val="Paragrafoelenco"/>
        <w:numPr>
          <w:ilvl w:val="0"/>
          <w:numId w:val="11"/>
        </w:numPr>
        <w:spacing w:after="0" w:line="240" w:lineRule="auto"/>
        <w:rPr>
          <w:rFonts w:ascii="Times New Roman" w:hAnsi="Times New Roman"/>
          <w:szCs w:val="24"/>
          <w:lang w:val="it-IT"/>
        </w:rPr>
      </w:pPr>
      <w:r w:rsidRPr="00386E61">
        <w:rPr>
          <w:rFonts w:ascii="Times New Roman" w:hAnsi="Times New Roman"/>
          <w:szCs w:val="24"/>
          <w:lang w:val="it-IT"/>
        </w:rPr>
        <w:t>al comma 1 sono in fine aggiunte le seguenti parole: “e della falsa evocazione dell’origine italiana”;</w:t>
      </w:r>
    </w:p>
    <w:p w:rsidR="00C7039C" w:rsidRPr="00386E61" w:rsidRDefault="00C7039C" w:rsidP="00826FD7">
      <w:pPr>
        <w:pStyle w:val="Paragrafoelenco"/>
        <w:numPr>
          <w:ilvl w:val="0"/>
          <w:numId w:val="11"/>
        </w:numPr>
        <w:spacing w:after="0" w:line="240" w:lineRule="auto"/>
        <w:rPr>
          <w:rFonts w:ascii="Times New Roman" w:hAnsi="Times New Roman"/>
          <w:szCs w:val="24"/>
          <w:lang w:val="it-IT"/>
        </w:rPr>
      </w:pPr>
      <w:r w:rsidRPr="00386E61">
        <w:rPr>
          <w:rFonts w:ascii="Times New Roman" w:hAnsi="Times New Roman"/>
          <w:szCs w:val="24"/>
          <w:lang w:val="it-IT"/>
        </w:rPr>
        <w:t>ovunque ricorrano le parole “Consiglio Nazionale Anticontraffazione” sono sostituite dalle parole: “Consiglio nazionale per la lotta alla contraffazione e all’</w:t>
      </w:r>
      <w:r w:rsidRPr="00D50229">
        <w:rPr>
          <w:rFonts w:ascii="Times New Roman" w:hAnsi="Times New Roman"/>
          <w:i/>
          <w:szCs w:val="24"/>
          <w:lang w:val="it-IT"/>
        </w:rPr>
        <w:t>Italian Sounding</w:t>
      </w:r>
      <w:r w:rsidRPr="00386E61">
        <w:rPr>
          <w:rFonts w:ascii="Times New Roman" w:hAnsi="Times New Roman"/>
          <w:szCs w:val="24"/>
          <w:lang w:val="it-IT"/>
        </w:rPr>
        <w:t>”;</w:t>
      </w:r>
    </w:p>
    <w:p w:rsidR="00C7039C" w:rsidRPr="00386E61" w:rsidRDefault="00C7039C" w:rsidP="00826FD7">
      <w:pPr>
        <w:pStyle w:val="Paragrafoelenco"/>
        <w:numPr>
          <w:ilvl w:val="0"/>
          <w:numId w:val="11"/>
        </w:numPr>
        <w:spacing w:after="0" w:line="240" w:lineRule="auto"/>
        <w:rPr>
          <w:rFonts w:ascii="Times New Roman" w:hAnsi="Times New Roman"/>
          <w:szCs w:val="24"/>
          <w:lang w:val="it-IT"/>
        </w:rPr>
      </w:pPr>
      <w:r w:rsidRPr="00386E61">
        <w:rPr>
          <w:rFonts w:ascii="Times New Roman" w:hAnsi="Times New Roman"/>
          <w:szCs w:val="24"/>
          <w:lang w:val="it-IT"/>
        </w:rPr>
        <w:t>al comma 2, dopo le parole “funzione pubblica” sono aggiunte le seguenti: “, da un rappresentante del Ministero dell’istruzione, dell’università e della ricerca,”.</w:t>
      </w:r>
    </w:p>
    <w:p w:rsidR="00C7039C" w:rsidRPr="00386E61" w:rsidRDefault="00BD7572" w:rsidP="00C7039C">
      <w:pPr>
        <w:widowControl w:val="0"/>
        <w:rPr>
          <w:rFonts w:cs="Times New Roman"/>
          <w:szCs w:val="24"/>
        </w:rPr>
      </w:pPr>
      <w:r>
        <w:rPr>
          <w:rFonts w:cs="Times New Roman"/>
          <w:szCs w:val="24"/>
        </w:rPr>
        <w:t>7</w:t>
      </w:r>
      <w:r w:rsidR="00C7039C" w:rsidRPr="00386E61">
        <w:rPr>
          <w:rFonts w:cs="Times New Roman"/>
          <w:szCs w:val="24"/>
        </w:rPr>
        <w:t xml:space="preserve">. Alle start-up innovative di cui al decreto-legge 18 ottobre 2012, n.179 convertito con legge 17 dicembre 2012, n. 221 e successive modificazioni ed integrazioni è concesso il Voucher 3I – Investire </w:t>
      </w:r>
      <w:r w:rsidR="00FB0F20">
        <w:rPr>
          <w:rFonts w:cs="Times New Roman"/>
          <w:szCs w:val="24"/>
        </w:rPr>
        <w:t>I</w:t>
      </w:r>
      <w:r w:rsidR="00C7039C" w:rsidRPr="00386E61">
        <w:rPr>
          <w:rFonts w:cs="Times New Roman"/>
          <w:szCs w:val="24"/>
        </w:rPr>
        <w:t>n Innovazione – al fine di supportare la valorizzazione del processo di innovazione delle predette imprese, nel periodo 2019-2021.</w:t>
      </w:r>
    </w:p>
    <w:p w:rsidR="00C7039C" w:rsidRPr="00386E61" w:rsidRDefault="00BD7572" w:rsidP="00C7039C">
      <w:pPr>
        <w:widowControl w:val="0"/>
        <w:rPr>
          <w:rFonts w:cs="Times New Roman"/>
          <w:szCs w:val="24"/>
        </w:rPr>
      </w:pPr>
      <w:r>
        <w:rPr>
          <w:rFonts w:cs="Times New Roman"/>
          <w:szCs w:val="24"/>
        </w:rPr>
        <w:t>8</w:t>
      </w:r>
      <w:r w:rsidR="00C7039C" w:rsidRPr="00386E61">
        <w:rPr>
          <w:rFonts w:cs="Times New Roman"/>
          <w:szCs w:val="24"/>
        </w:rPr>
        <w:t>. Il voucher 3I può essere utilizzato dalle imprese di cui al comma 10 per l’acquisizione di servizi di consulenza relativi alla verifica della brevettabilità dell’invenzione e all’effettuazione delle ricerche di anteriorità preventive, alla stesura della domanda di brevetto e di deposito presso l’Ufficio Italiano Brevetti e Marchi, all’estensione all’estero della domanda nazionale.</w:t>
      </w:r>
    </w:p>
    <w:p w:rsidR="00C7039C" w:rsidRPr="00386E61" w:rsidRDefault="00BD7572" w:rsidP="00C7039C">
      <w:pPr>
        <w:widowControl w:val="0"/>
        <w:rPr>
          <w:rFonts w:cs="Times New Roman"/>
          <w:szCs w:val="24"/>
        </w:rPr>
      </w:pPr>
      <w:r>
        <w:rPr>
          <w:rFonts w:cs="Times New Roman"/>
          <w:szCs w:val="24"/>
        </w:rPr>
        <w:t>9</w:t>
      </w:r>
      <w:r w:rsidR="00C7039C" w:rsidRPr="00386E61">
        <w:rPr>
          <w:rFonts w:cs="Times New Roman"/>
          <w:szCs w:val="24"/>
        </w:rPr>
        <w:t>. I criteri e le modalità di attuazione del voucher 3I sono definiti con decreto di natura non regolamentare dal Ministero dello sviluppo economico, in piena coerenza con le altre misure di aiuto in favore delle imprese di cui al comma 10, attivate dal Ministero stesso. Per lo svolgimento delle attività inerenti l’attuazione del voucher 3I, il Ministero dello sviluppo economico può avvalersi di un soggetto gestore e dei soggetti di cui al capo VI del decreto legislativo 10 febbraio 2005, n.30 e successive modificazioni ed integrazioni.</w:t>
      </w:r>
    </w:p>
    <w:p w:rsidR="0014694B" w:rsidRPr="00E42D36" w:rsidRDefault="00BD7572" w:rsidP="0014694B">
      <w:pPr>
        <w:rPr>
          <w:color w:val="auto"/>
          <w:szCs w:val="24"/>
        </w:rPr>
      </w:pPr>
      <w:r>
        <w:rPr>
          <w:rFonts w:cs="Times New Roman"/>
          <w:szCs w:val="24"/>
        </w:rPr>
        <w:t>10</w:t>
      </w:r>
      <w:r w:rsidR="00C7039C" w:rsidRPr="00386E61">
        <w:rPr>
          <w:rFonts w:cs="Times New Roman"/>
          <w:szCs w:val="24"/>
        </w:rPr>
        <w:t xml:space="preserve">. </w:t>
      </w:r>
      <w:r w:rsidR="00254BFE" w:rsidRPr="00E42D36">
        <w:rPr>
          <w:rFonts w:cs="Times New Roman"/>
          <w:color w:val="auto"/>
          <w:szCs w:val="24"/>
        </w:rPr>
        <w:t>A</w:t>
      </w:r>
      <w:r w:rsidR="00C7039C" w:rsidRPr="00E42D36">
        <w:rPr>
          <w:rFonts w:cs="Times New Roman"/>
          <w:color w:val="auto"/>
          <w:szCs w:val="24"/>
        </w:rPr>
        <w:t xml:space="preserve">gli oneri derivanti dall’attuazione dei commi </w:t>
      </w:r>
      <w:r w:rsidR="00FB0F20">
        <w:rPr>
          <w:rFonts w:cs="Times New Roman"/>
          <w:color w:val="auto"/>
          <w:szCs w:val="24"/>
        </w:rPr>
        <w:t>7</w:t>
      </w:r>
      <w:r w:rsidR="00C7039C" w:rsidRPr="00E42D36">
        <w:rPr>
          <w:rFonts w:cs="Times New Roman"/>
          <w:color w:val="auto"/>
          <w:szCs w:val="24"/>
        </w:rPr>
        <w:t xml:space="preserve">, </w:t>
      </w:r>
      <w:r w:rsidR="00FB0F20">
        <w:rPr>
          <w:rFonts w:cs="Times New Roman"/>
          <w:color w:val="auto"/>
          <w:szCs w:val="24"/>
        </w:rPr>
        <w:t>8</w:t>
      </w:r>
      <w:r w:rsidR="00C7039C" w:rsidRPr="00E42D36">
        <w:rPr>
          <w:rFonts w:cs="Times New Roman"/>
          <w:color w:val="auto"/>
          <w:szCs w:val="24"/>
        </w:rPr>
        <w:t xml:space="preserve"> e </w:t>
      </w:r>
      <w:r w:rsidR="00FB0F20">
        <w:rPr>
          <w:rFonts w:cs="Times New Roman"/>
          <w:color w:val="auto"/>
          <w:szCs w:val="24"/>
        </w:rPr>
        <w:t>9</w:t>
      </w:r>
      <w:r w:rsidR="00C7039C" w:rsidRPr="00E42D36">
        <w:rPr>
          <w:rFonts w:cs="Times New Roman"/>
          <w:color w:val="auto"/>
          <w:szCs w:val="24"/>
        </w:rPr>
        <w:t xml:space="preserve"> del presente articolo, fissati in misura massima</w:t>
      </w:r>
      <w:r w:rsidR="00C7039C" w:rsidRPr="00106D48">
        <w:rPr>
          <w:rFonts w:cs="Times New Roman"/>
          <w:color w:val="auto"/>
          <w:szCs w:val="24"/>
        </w:rPr>
        <w:t xml:space="preserve"> </w:t>
      </w:r>
      <w:r w:rsidR="00037645" w:rsidRPr="00E42D36">
        <w:rPr>
          <w:rFonts w:cs="Times New Roman"/>
          <w:color w:val="auto"/>
          <w:szCs w:val="24"/>
        </w:rPr>
        <w:t xml:space="preserve">di 6,5 </w:t>
      </w:r>
      <w:r w:rsidR="00C7039C" w:rsidRPr="00E42D36">
        <w:rPr>
          <w:rFonts w:cs="Times New Roman"/>
          <w:color w:val="auto"/>
          <w:szCs w:val="24"/>
        </w:rPr>
        <w:t>milioni di euro per ciascun ann</w:t>
      </w:r>
      <w:r w:rsidR="00037645" w:rsidRPr="00E42D36">
        <w:rPr>
          <w:rFonts w:cs="Times New Roman"/>
          <w:color w:val="auto"/>
          <w:szCs w:val="24"/>
        </w:rPr>
        <w:t>o</w:t>
      </w:r>
      <w:r w:rsidR="00E43BDA" w:rsidRPr="00E42D36">
        <w:rPr>
          <w:rFonts w:cs="Times New Roman"/>
          <w:color w:val="auto"/>
          <w:szCs w:val="24"/>
        </w:rPr>
        <w:t xml:space="preserve"> del triennio 2019-2021</w:t>
      </w:r>
      <w:r w:rsidR="00C7039C" w:rsidRPr="00E42D36">
        <w:rPr>
          <w:rFonts w:cs="Times New Roman"/>
          <w:color w:val="auto"/>
          <w:szCs w:val="24"/>
        </w:rPr>
        <w:t xml:space="preserve"> </w:t>
      </w:r>
      <w:r w:rsidR="0014694B" w:rsidRPr="00E42D36">
        <w:rPr>
          <w:color w:val="auto"/>
          <w:szCs w:val="24"/>
        </w:rPr>
        <w:t>si provvede mediante corrispondente riduzione  dello stanziamento del fondo speciale di parte corrente iscritto, ai fini del bilancio triennale 2019-2021 , nell'ambito del programma "Fondi di riserva e speciali" della missione "Fondi da ripartire" dello stato di previsione del Ministero dell'economia e delle finanze per l'anno 2019, allo scopo utilizzando parzialmente l'accantonamento relativo al Ministero dello Sviluppo economico</w:t>
      </w:r>
    </w:p>
    <w:p w:rsidR="00C7039C" w:rsidRPr="00386E61" w:rsidRDefault="00BD7572" w:rsidP="00C7039C">
      <w:pPr>
        <w:widowControl w:val="0"/>
        <w:rPr>
          <w:rFonts w:cs="Times New Roman"/>
          <w:szCs w:val="24"/>
        </w:rPr>
      </w:pPr>
      <w:r>
        <w:rPr>
          <w:rFonts w:cs="Times New Roman"/>
          <w:szCs w:val="24"/>
        </w:rPr>
        <w:t>11</w:t>
      </w:r>
      <w:r w:rsidR="00C7039C" w:rsidRPr="00386E61">
        <w:rPr>
          <w:rFonts w:cs="Times New Roman"/>
          <w:szCs w:val="24"/>
        </w:rPr>
        <w:t>.Al fine di stabilizzare il sostegno alle piccole e medie imprese per la valorizzazione dei titoli di proprietà industriale, il Ministero dello sviluppo economico provvede annualmente, con decreto del Direttore Generale per la lotta alla contraffazione-Ufficio italiano brevetti e marchi alla definizione di un atto di programmazione dell’apertura dei bandi relativi alle misure già operanti denominate brevetti+, marchi+ e disegni+, attuate tramite soggetti gestori in modo tale da rendere le misure rispondenti ai fabbisogni del tessuto imprenditoriale, in particolare delle start up e delle imprese giovanili, anche apportando le necessarie modifiche per rendere le misure eleggibili all’interno degli interventi che possono essere cofinanziati dall’Unione Europea, al fine di incrementarne la relativa dotazione finanziaria.</w:t>
      </w:r>
    </w:p>
    <w:p w:rsidR="00AF65CD" w:rsidRPr="00AF65CD" w:rsidRDefault="00C7039C" w:rsidP="00AF65CD">
      <w:pPr>
        <w:widowControl w:val="0"/>
        <w:rPr>
          <w:color w:val="FF0000"/>
          <w:szCs w:val="24"/>
        </w:rPr>
      </w:pPr>
      <w:r w:rsidRPr="00386E61">
        <w:rPr>
          <w:rFonts w:cs="Times New Roman"/>
          <w:szCs w:val="24"/>
        </w:rPr>
        <w:t>1</w:t>
      </w:r>
      <w:r w:rsidR="00BD7572">
        <w:rPr>
          <w:rFonts w:cs="Times New Roman"/>
          <w:szCs w:val="24"/>
        </w:rPr>
        <w:t>2</w:t>
      </w:r>
      <w:r w:rsidRPr="00386E61">
        <w:rPr>
          <w:rFonts w:cs="Times New Roman"/>
          <w:szCs w:val="24"/>
        </w:rPr>
        <w:t>. Al fine di assicurare la piena informazione dei consumatori in ordine al ciclo produttivo e favorire le esportazioni di prodotti di qualità, il Ministero dello sviluppo economico concede un’agevolazione diretta a sostenere la promozione all’estero di marchi collettivi o di certificazione volontari italiani, ai sensi degli articoli 11 ed 11-bis del decreto legislativo 19 marzo 2005 n. 30, da parte di associazioni rappresentative di categoria</w:t>
      </w:r>
      <w:r w:rsidR="00AF65CD">
        <w:rPr>
          <w:rFonts w:cs="Times New Roman"/>
          <w:szCs w:val="24"/>
        </w:rPr>
        <w:t xml:space="preserve"> </w:t>
      </w:r>
      <w:r w:rsidR="00AF65CD" w:rsidRPr="00656ABA">
        <w:rPr>
          <w:color w:val="auto"/>
          <w:szCs w:val="24"/>
        </w:rPr>
        <w:t>fissata nella misura massima di euro 1 milione per anno.</w:t>
      </w:r>
    </w:p>
    <w:p w:rsidR="00C7039C" w:rsidRPr="00656ABA" w:rsidRDefault="00C7039C" w:rsidP="00C7039C">
      <w:pPr>
        <w:widowControl w:val="0"/>
        <w:rPr>
          <w:rFonts w:cs="Times New Roman"/>
          <w:color w:val="auto"/>
          <w:szCs w:val="24"/>
        </w:rPr>
      </w:pPr>
      <w:r w:rsidRPr="00386E61">
        <w:rPr>
          <w:rFonts w:cs="Times New Roman"/>
          <w:szCs w:val="24"/>
        </w:rPr>
        <w:t>1</w:t>
      </w:r>
      <w:r w:rsidR="00BD7572">
        <w:rPr>
          <w:rFonts w:cs="Times New Roman"/>
          <w:szCs w:val="24"/>
        </w:rPr>
        <w:t>3</w:t>
      </w:r>
      <w:r w:rsidRPr="00386E61">
        <w:rPr>
          <w:rFonts w:cs="Times New Roman"/>
          <w:szCs w:val="24"/>
        </w:rPr>
        <w:t xml:space="preserve">. Con decreto del Ministero dello sviluppo economico sono fissati i criteri e le modalità di concessione dell’agevolazione di cui al comma </w:t>
      </w:r>
      <w:r w:rsidRPr="00656ABA">
        <w:rPr>
          <w:rFonts w:cs="Times New Roman"/>
          <w:color w:val="auto"/>
          <w:szCs w:val="24"/>
        </w:rPr>
        <w:t>1</w:t>
      </w:r>
      <w:r w:rsidR="00C92835">
        <w:rPr>
          <w:rFonts w:cs="Times New Roman"/>
          <w:color w:val="auto"/>
          <w:szCs w:val="24"/>
        </w:rPr>
        <w:t>2</w:t>
      </w:r>
      <w:r w:rsidRPr="00656ABA">
        <w:rPr>
          <w:rFonts w:cs="Times New Roman"/>
          <w:color w:val="auto"/>
          <w:szCs w:val="24"/>
        </w:rPr>
        <w:t>, nonché i requisiti minimi dei disciplinari d’uso, determinati d’intesa con le associazioni rappresentative delle categorie produttive, le disposizioni minime relative all’adesione, alle verifiche, ai controlli e alle sanzioni per uso non conforme, cui devono essere soggetti i licenziatari dei marchi, i criteri per la composizione e le modalità di funzionamento degli organismi cui i titolari affideranno la gestione dei marchi.</w:t>
      </w:r>
    </w:p>
    <w:p w:rsidR="006F0197" w:rsidRPr="006F0197" w:rsidRDefault="00C7039C" w:rsidP="006F0197">
      <w:pPr>
        <w:widowControl w:val="0"/>
        <w:rPr>
          <w:rFonts w:cs="Times New Roman"/>
          <w:color w:val="auto"/>
          <w:szCs w:val="24"/>
        </w:rPr>
      </w:pPr>
      <w:r w:rsidRPr="00656ABA">
        <w:rPr>
          <w:rFonts w:cs="Times New Roman"/>
          <w:color w:val="auto"/>
          <w:szCs w:val="24"/>
        </w:rPr>
        <w:t>1</w:t>
      </w:r>
      <w:r w:rsidR="00BD7572">
        <w:rPr>
          <w:rFonts w:cs="Times New Roman"/>
          <w:color w:val="auto"/>
          <w:szCs w:val="24"/>
        </w:rPr>
        <w:t>4</w:t>
      </w:r>
      <w:r w:rsidRPr="00656ABA">
        <w:rPr>
          <w:rFonts w:cs="Times New Roman"/>
          <w:color w:val="auto"/>
          <w:szCs w:val="24"/>
        </w:rPr>
        <w:t>. Il Ministero dello sviluppo economico esercita la supervisione sull’attività dei titolari dei marchi collettivi e di certificazione ammessi alle agevolazioni, vigilando sul corretto uso del marchio e sull’espletamento dei controlli previsti dai rispettivi disciplinari, anche ai fini della promozione coordinata e coerente di tali marchi.</w:t>
      </w:r>
      <w:r w:rsidR="006F0197">
        <w:rPr>
          <w:rFonts w:cs="Times New Roman"/>
          <w:color w:val="auto"/>
          <w:szCs w:val="24"/>
        </w:rPr>
        <w:t xml:space="preserve"> </w:t>
      </w:r>
      <w:r w:rsidR="006F0197" w:rsidRPr="006F0197">
        <w:rPr>
          <w:rFonts w:cs="Times New Roman"/>
          <w:iCs/>
          <w:color w:val="auto"/>
          <w:szCs w:val="24"/>
        </w:rPr>
        <w:t>Agli adempimenti previsti il Ministero dello sviluppo economico provvede con le risorse umane, finanziarie e strumentali disponibili a legislazione vigente, senza nuovi o maggiori oneri a carico della finanza pubblica.</w:t>
      </w:r>
    </w:p>
    <w:p w:rsidR="00D85A11" w:rsidRPr="00656ABA" w:rsidRDefault="00D85A11" w:rsidP="00D85A11">
      <w:pPr>
        <w:rPr>
          <w:color w:val="auto"/>
        </w:rPr>
      </w:pPr>
      <w:r w:rsidRPr="00656ABA">
        <w:rPr>
          <w:rFonts w:cs="Times New Roman"/>
          <w:color w:val="auto"/>
          <w:szCs w:val="24"/>
        </w:rPr>
        <w:t>1</w:t>
      </w:r>
      <w:r w:rsidR="00BD7572">
        <w:rPr>
          <w:rFonts w:cs="Times New Roman"/>
          <w:color w:val="auto"/>
          <w:szCs w:val="24"/>
        </w:rPr>
        <w:t>5</w:t>
      </w:r>
      <w:r w:rsidRPr="00656ABA">
        <w:rPr>
          <w:rFonts w:cs="Times New Roman"/>
          <w:color w:val="auto"/>
          <w:szCs w:val="24"/>
        </w:rPr>
        <w:t>.</w:t>
      </w:r>
      <w:r w:rsidRPr="00656ABA">
        <w:rPr>
          <w:color w:val="auto"/>
        </w:rPr>
        <w:t xml:space="preserve"> Agli oneri derivanti dai commi 1</w:t>
      </w:r>
      <w:r w:rsidR="00C92835">
        <w:rPr>
          <w:color w:val="auto"/>
        </w:rPr>
        <w:t>2</w:t>
      </w:r>
      <w:r w:rsidRPr="00656ABA">
        <w:rPr>
          <w:color w:val="auto"/>
        </w:rPr>
        <w:t xml:space="preserve"> e 1</w:t>
      </w:r>
      <w:r w:rsidR="00C92835">
        <w:rPr>
          <w:color w:val="auto"/>
        </w:rPr>
        <w:t>3</w:t>
      </w:r>
      <w:r w:rsidRPr="00656ABA">
        <w:rPr>
          <w:color w:val="auto"/>
        </w:rPr>
        <w:t>, pari a 1 milione di euro per ciascun anno, a decorrere dal 2019 si provvede mediante corrispondente riduzione  dello stanziamento del fondo speciale di parte corrente iscritto, ai fini del bilancio triennale 2019-2021 , nell'ambito del programma "Fondi di riserva e speciali" della missione "Fondi da ripartire" dello stato di previsione del Ministero dell'economia e delle finanze per l'anno 2019 , allo scopo utilizzando parzialmente l'accantonamento relativo al Ministero dello Sviluppo economico.</w:t>
      </w:r>
    </w:p>
    <w:p w:rsidR="00C7039C" w:rsidRPr="00386E61" w:rsidRDefault="00C7039C" w:rsidP="00C7039C">
      <w:pPr>
        <w:widowControl w:val="0"/>
        <w:rPr>
          <w:rFonts w:cs="Times New Roman"/>
          <w:szCs w:val="24"/>
        </w:rPr>
      </w:pPr>
      <w:r w:rsidRPr="00386E61">
        <w:rPr>
          <w:rFonts w:cs="Times New Roman"/>
          <w:szCs w:val="24"/>
        </w:rPr>
        <w:t>1</w:t>
      </w:r>
      <w:r w:rsidR="00BD7572">
        <w:rPr>
          <w:rFonts w:cs="Times New Roman"/>
          <w:szCs w:val="24"/>
        </w:rPr>
        <w:t>6</w:t>
      </w:r>
      <w:r w:rsidRPr="00386E61">
        <w:rPr>
          <w:rFonts w:cs="Times New Roman"/>
          <w:szCs w:val="24"/>
        </w:rPr>
        <w:t>. All’articolo 55 del codice della proprietà industriale sono apportate le seguenti modifiche:</w:t>
      </w:r>
    </w:p>
    <w:p w:rsidR="00C7039C" w:rsidRPr="00386E61" w:rsidRDefault="00C7039C" w:rsidP="00C7039C">
      <w:pPr>
        <w:widowControl w:val="0"/>
        <w:ind w:left="142"/>
        <w:rPr>
          <w:rFonts w:cs="Times New Roman"/>
          <w:szCs w:val="24"/>
        </w:rPr>
      </w:pPr>
      <w:r w:rsidRPr="00386E61">
        <w:rPr>
          <w:rFonts w:cs="Times New Roman"/>
          <w:szCs w:val="24"/>
        </w:rPr>
        <w:t>a)</w:t>
      </w:r>
      <w:r w:rsidRPr="00386E61">
        <w:rPr>
          <w:rFonts w:cs="Times New Roman"/>
          <w:szCs w:val="24"/>
        </w:rPr>
        <w:tab/>
        <w:t xml:space="preserve">il comma 1 è sostituito dal seguente: </w:t>
      </w:r>
    </w:p>
    <w:p w:rsidR="00C7039C" w:rsidRPr="00386E61" w:rsidRDefault="00C7039C" w:rsidP="00C7039C">
      <w:pPr>
        <w:widowControl w:val="0"/>
        <w:ind w:left="142"/>
        <w:rPr>
          <w:rFonts w:cs="Times New Roman"/>
          <w:szCs w:val="24"/>
        </w:rPr>
      </w:pPr>
      <w:r w:rsidRPr="00386E61">
        <w:rPr>
          <w:rFonts w:cs="Times New Roman"/>
          <w:szCs w:val="24"/>
        </w:rPr>
        <w:t xml:space="preserve">«1. La domanda internazionale depositata ai sensi del Trattato di cooperazione in materia di brevetti, ratificato con legge 26 maggio 1978, n. 260, contenente la designazione o l’elezione dell’Italia, indipendentemente dalla designazione dell’Organizzazione europea dei brevetti per la concessione di un brevetto europeo, equivale ad una domanda di brevetto per invenzione industriale o per modello di utilità depositata in Italia alla stessa data, e ne produce gli effetti, se entro 30 mesi dalla data di deposito, o di priorità, ove rivendicata, viene depositata presso l’Ufficio italiano brevetti e marchi una richiesta di apertura della procedura nazionale di concessione del brevetto italiano ai sensi dell’articolo 160-bis, comma 1.». </w:t>
      </w:r>
    </w:p>
    <w:p w:rsidR="00C7039C" w:rsidRPr="00386E61" w:rsidRDefault="00C7039C" w:rsidP="00C7039C">
      <w:pPr>
        <w:widowControl w:val="0"/>
        <w:ind w:left="142"/>
        <w:rPr>
          <w:rFonts w:cs="Times New Roman"/>
          <w:szCs w:val="24"/>
        </w:rPr>
      </w:pPr>
      <w:r w:rsidRPr="00386E61">
        <w:rPr>
          <w:rFonts w:cs="Times New Roman"/>
          <w:szCs w:val="24"/>
        </w:rPr>
        <w:t>b)</w:t>
      </w:r>
      <w:r w:rsidRPr="00386E61">
        <w:rPr>
          <w:rFonts w:cs="Times New Roman"/>
          <w:szCs w:val="24"/>
        </w:rPr>
        <w:tab/>
        <w:t>dopo il comma 1 sono inseriti i seguenti:</w:t>
      </w:r>
    </w:p>
    <w:p w:rsidR="00C7039C" w:rsidRPr="00386E61" w:rsidRDefault="00C7039C" w:rsidP="00C7039C">
      <w:pPr>
        <w:widowControl w:val="0"/>
        <w:ind w:left="142"/>
        <w:rPr>
          <w:rFonts w:cs="Times New Roman"/>
          <w:szCs w:val="24"/>
        </w:rPr>
      </w:pPr>
      <w:r w:rsidRPr="00386E61">
        <w:rPr>
          <w:rFonts w:cs="Times New Roman"/>
          <w:szCs w:val="24"/>
        </w:rPr>
        <w:t xml:space="preserve">«1-bis. La protezione conferita dalla domanda ai sensi del comma 1 decorre dalla data in cui il titolare della medesima abbia reso accessibile al pubblico, tramite l’Ufficio italiano brevetti e marchi, una traduzione in lingua italiana della domanda ovvero l’abbia notificata direttamente al presunto contraffattore. La designazione dell’Italia nella domanda internazionale è considerata priva di effetti sin dall’origine, salvo per quanto disposto dall’art. 46, comma 3, quando la domanda stessa sia stata ritirata o considerata ritirata o quando la designazione dell’Italia sia stata ritirata o respinta, o quando la domanda presso l’Ufficio italiano brevetti e marchi non sia stata depositata entro il termine stabilito dal comma 1. </w:t>
      </w:r>
    </w:p>
    <w:p w:rsidR="00C7039C" w:rsidRPr="00386E61" w:rsidRDefault="00C7039C" w:rsidP="00C7039C">
      <w:pPr>
        <w:widowControl w:val="0"/>
        <w:ind w:left="142"/>
        <w:rPr>
          <w:rFonts w:cs="Times New Roman"/>
          <w:szCs w:val="24"/>
        </w:rPr>
      </w:pPr>
      <w:r w:rsidRPr="00386E61">
        <w:rPr>
          <w:rFonts w:cs="Times New Roman"/>
          <w:szCs w:val="24"/>
        </w:rPr>
        <w:t>1-ter. Le modalità di applicazione del presente articolo e dell’articolo 160-bis sono determinate con decreto del Ministero dello sviluppo economico.».</w:t>
      </w:r>
    </w:p>
    <w:p w:rsidR="00C7039C" w:rsidRPr="00386E61" w:rsidRDefault="003D27C6" w:rsidP="00C7039C">
      <w:pPr>
        <w:widowControl w:val="0"/>
        <w:rPr>
          <w:rFonts w:cs="Times New Roman"/>
          <w:szCs w:val="24"/>
        </w:rPr>
      </w:pPr>
      <w:r>
        <w:rPr>
          <w:rFonts w:cs="Times New Roman"/>
          <w:szCs w:val="24"/>
        </w:rPr>
        <w:t>1</w:t>
      </w:r>
      <w:r w:rsidR="00BD7572">
        <w:rPr>
          <w:rFonts w:cs="Times New Roman"/>
          <w:szCs w:val="24"/>
        </w:rPr>
        <w:t>7</w:t>
      </w:r>
      <w:r w:rsidR="00C7039C" w:rsidRPr="00386E61">
        <w:rPr>
          <w:rFonts w:cs="Times New Roman"/>
          <w:szCs w:val="24"/>
        </w:rPr>
        <w:t>. Dopo l’articolo 160 del codice della proprietà industriale è inserito il seguente:</w:t>
      </w:r>
    </w:p>
    <w:p w:rsidR="00C7039C" w:rsidRPr="00386E61" w:rsidRDefault="00C7039C" w:rsidP="00C7039C">
      <w:pPr>
        <w:widowControl w:val="0"/>
        <w:rPr>
          <w:rFonts w:cs="Times New Roman"/>
          <w:szCs w:val="24"/>
        </w:rPr>
      </w:pPr>
      <w:r w:rsidRPr="00386E61">
        <w:rPr>
          <w:rFonts w:cs="Times New Roman"/>
          <w:szCs w:val="24"/>
        </w:rPr>
        <w:t>«Articolo 160-bis. - Procedura nazionale della domanda internazionale</w:t>
      </w:r>
    </w:p>
    <w:p w:rsidR="00C7039C" w:rsidRPr="00386E61" w:rsidRDefault="00C7039C" w:rsidP="00C7039C">
      <w:pPr>
        <w:widowControl w:val="0"/>
        <w:ind w:left="284"/>
        <w:rPr>
          <w:rFonts w:cs="Times New Roman"/>
          <w:szCs w:val="24"/>
        </w:rPr>
      </w:pPr>
      <w:r w:rsidRPr="00386E61">
        <w:rPr>
          <w:rFonts w:cs="Times New Roman"/>
          <w:szCs w:val="24"/>
        </w:rPr>
        <w:t>1. La richiesta di apertura della procedura nazionale di cui al comma 1 dell’articolo 55, da presentare all’Ufficio italiano brevetti e marchi per la concessione del brevetto italiano per invenzione industriale o modello di utilità, deve essere accompagnata da:</w:t>
      </w:r>
    </w:p>
    <w:p w:rsidR="00C7039C" w:rsidRPr="00386E61" w:rsidRDefault="00C7039C" w:rsidP="00C7039C">
      <w:pPr>
        <w:widowControl w:val="0"/>
        <w:ind w:left="426"/>
        <w:rPr>
          <w:rFonts w:cs="Times New Roman"/>
          <w:szCs w:val="24"/>
        </w:rPr>
      </w:pPr>
      <w:r w:rsidRPr="00386E61">
        <w:rPr>
          <w:rFonts w:cs="Times New Roman"/>
          <w:szCs w:val="24"/>
        </w:rPr>
        <w:t>a) una traduzione italiana completa della domanda internazionale come pubblicata;</w:t>
      </w:r>
    </w:p>
    <w:p w:rsidR="00C7039C" w:rsidRPr="00386E61" w:rsidRDefault="00C7039C" w:rsidP="00C7039C">
      <w:pPr>
        <w:widowControl w:val="0"/>
        <w:ind w:left="426"/>
        <w:rPr>
          <w:rFonts w:cs="Times New Roman"/>
          <w:szCs w:val="24"/>
        </w:rPr>
      </w:pPr>
      <w:r w:rsidRPr="00386E61">
        <w:rPr>
          <w:rFonts w:cs="Times New Roman"/>
          <w:szCs w:val="24"/>
        </w:rPr>
        <w:t>b) i diritti di deposito previsti dalla Tabella A allegata al decreto 2 aprile 2007 del Ministro dello sviluppo economico, di concerto con il Ministro dell’economia e finanze.</w:t>
      </w:r>
    </w:p>
    <w:p w:rsidR="00C7039C" w:rsidRPr="00386E61" w:rsidRDefault="00C7039C" w:rsidP="00C7039C">
      <w:pPr>
        <w:widowControl w:val="0"/>
        <w:ind w:left="284"/>
        <w:rPr>
          <w:rFonts w:cs="Times New Roman"/>
          <w:szCs w:val="24"/>
        </w:rPr>
      </w:pPr>
      <w:r w:rsidRPr="00386E61">
        <w:rPr>
          <w:rFonts w:cs="Times New Roman"/>
          <w:szCs w:val="24"/>
        </w:rPr>
        <w:t>2. Alla richiesta di cui al comma 1 si applicano le norme del presente codice, dei regolamenti attuativi e dei decreti sul pagamento dei diritti, in particolare in relazione alla ricevibilità e integrazione delle domande, alla data attribuita alla domanda, alla presentazione di ulteriori documenti e traduzioni che potranno essere richiesti al fine delle procedure di esame e del mantenimento in vita dei titoli.</w:t>
      </w:r>
    </w:p>
    <w:p w:rsidR="00C7039C" w:rsidRPr="00386E61" w:rsidRDefault="00C7039C" w:rsidP="00C7039C">
      <w:pPr>
        <w:widowControl w:val="0"/>
        <w:ind w:left="284"/>
        <w:rPr>
          <w:rFonts w:cs="Times New Roman"/>
          <w:szCs w:val="24"/>
        </w:rPr>
      </w:pPr>
      <w:r w:rsidRPr="00386E61">
        <w:rPr>
          <w:rFonts w:cs="Times New Roman"/>
          <w:szCs w:val="24"/>
        </w:rPr>
        <w:t>3. Per la richiesta di brevetto italiano per invenzione industriale basata su una domanda internazionale ai sensi del comma 1 dell’articolo 55 la ricerca di anteriorità effettuata nella fase internazionale sostituisce la corrispondente ricerca prevista per la domanda nazionale, ferme restando le altre norme sull’esame previste dal presente codice.».</w:t>
      </w:r>
    </w:p>
    <w:p w:rsidR="00C7039C" w:rsidRPr="00386E61" w:rsidRDefault="00C7039C" w:rsidP="00C7039C">
      <w:pPr>
        <w:pStyle w:val="Paragrafoelenco"/>
        <w:spacing w:after="0" w:line="240" w:lineRule="auto"/>
        <w:ind w:left="0"/>
        <w:rPr>
          <w:rFonts w:ascii="Times New Roman" w:hAnsi="Times New Roman"/>
          <w:lang w:val="it-IT"/>
        </w:rPr>
      </w:pPr>
    </w:p>
    <w:p w:rsidR="00C7039C" w:rsidRPr="00386E61" w:rsidRDefault="00C7039C" w:rsidP="00C7039C">
      <w:pPr>
        <w:rPr>
          <w:rFonts w:cs="Times New Roman"/>
          <w:b/>
          <w:i/>
        </w:rPr>
      </w:pPr>
      <w:r w:rsidRPr="00386E61">
        <w:rPr>
          <w:rFonts w:cs="Times New Roman"/>
          <w:b/>
          <w:i/>
        </w:rPr>
        <w:t xml:space="preserve">Relazione illustrativa commi da </w:t>
      </w:r>
      <w:r w:rsidR="003D27C6">
        <w:rPr>
          <w:rFonts w:cs="Times New Roman"/>
          <w:b/>
          <w:i/>
        </w:rPr>
        <w:t>1</w:t>
      </w:r>
      <w:r w:rsidRPr="00386E61">
        <w:rPr>
          <w:rFonts w:cs="Times New Roman"/>
          <w:b/>
          <w:i/>
        </w:rPr>
        <w:t xml:space="preserve"> a </w:t>
      </w:r>
      <w:r w:rsidR="003D27C6">
        <w:rPr>
          <w:rFonts w:cs="Times New Roman"/>
          <w:b/>
          <w:i/>
        </w:rPr>
        <w:t>4</w:t>
      </w:r>
      <w:r w:rsidRPr="00386E61">
        <w:rPr>
          <w:rFonts w:cs="Times New Roman"/>
          <w:b/>
          <w:i/>
        </w:rPr>
        <w:t xml:space="preserve"> (aiuto ai consorzi per la tutela dei prodotti di origine italiana contro fenomeni legati all’Italian sounding)</w:t>
      </w:r>
    </w:p>
    <w:p w:rsidR="00C7039C" w:rsidRPr="00386E61" w:rsidRDefault="00C7039C" w:rsidP="00C7039C">
      <w:pPr>
        <w:rPr>
          <w:rFonts w:cs="Times New Roman"/>
        </w:rPr>
      </w:pPr>
      <w:r w:rsidRPr="00386E61">
        <w:rPr>
          <w:rFonts w:cs="Times New Roman"/>
        </w:rPr>
        <w:t>Il fenomeno dell’Italian Sounding colpisce in maniera molto forte i nostri prodotti (soprattutto quelli tipici) che in alcuni mercati esteri subiscono una concorrenza sleale che sottrae loro rilevanti fasce di mercato. Per contrastare questo fenomeno le nostre imprese devono agire per via giudiziaria al fine di tutelarsi, con rilevanti costi da sostenere che a volte rendono difficile seguire questa strada.</w:t>
      </w:r>
    </w:p>
    <w:p w:rsidR="00C7039C" w:rsidRPr="00386E61" w:rsidRDefault="00C7039C" w:rsidP="00C7039C">
      <w:pPr>
        <w:rPr>
          <w:rFonts w:cs="Times New Roman"/>
        </w:rPr>
      </w:pPr>
      <w:r w:rsidRPr="00386E61">
        <w:rPr>
          <w:rFonts w:cs="Times New Roman"/>
        </w:rPr>
        <w:t>Per sostenere le nostre piccole e medie imprese in questo ambito, con il presente articolo si intende costituire un credito d’imposta pari al 50% delle spese sostenute per la tutela legale dei propri prodotti, ivi inclusi quelli agroalimentari.</w:t>
      </w:r>
    </w:p>
    <w:p w:rsidR="00C7039C" w:rsidRPr="00386E61" w:rsidRDefault="00C7039C" w:rsidP="00C7039C">
      <w:pPr>
        <w:rPr>
          <w:rFonts w:cs="Times New Roman"/>
          <w:b/>
          <w:i/>
        </w:rPr>
      </w:pPr>
      <w:r w:rsidRPr="00386E61">
        <w:rPr>
          <w:rFonts w:cs="Times New Roman"/>
          <w:b/>
          <w:i/>
        </w:rPr>
        <w:t xml:space="preserve">Relazione tecnica commi da </w:t>
      </w:r>
      <w:r w:rsidR="003D27C6">
        <w:rPr>
          <w:rFonts w:cs="Times New Roman"/>
          <w:b/>
          <w:i/>
        </w:rPr>
        <w:t>1</w:t>
      </w:r>
      <w:r w:rsidRPr="00386E61">
        <w:rPr>
          <w:rFonts w:cs="Times New Roman"/>
          <w:b/>
          <w:i/>
        </w:rPr>
        <w:t xml:space="preserve"> a </w:t>
      </w:r>
      <w:r w:rsidR="003D27C6">
        <w:rPr>
          <w:rFonts w:cs="Times New Roman"/>
          <w:b/>
          <w:i/>
        </w:rPr>
        <w:t>4</w:t>
      </w:r>
      <w:r w:rsidRPr="00386E61">
        <w:rPr>
          <w:rFonts w:cs="Times New Roman"/>
          <w:b/>
          <w:i/>
        </w:rPr>
        <w:t xml:space="preserve"> (aiuto ai consorzi per la tutela dei prodotti di origine italiana contro fenomeni legati all’Italian sounding)</w:t>
      </w:r>
    </w:p>
    <w:p w:rsidR="00C7039C" w:rsidRPr="00386E61" w:rsidRDefault="00C7039C" w:rsidP="00C7039C">
      <w:pPr>
        <w:rPr>
          <w:rFonts w:cs="Times New Roman"/>
        </w:rPr>
      </w:pPr>
      <w:r w:rsidRPr="00386E61">
        <w:rPr>
          <w:rFonts w:cs="Times New Roman"/>
        </w:rPr>
        <w:t>Al fine di gestire il ricorso a questo strumento è stato previsto un limite annuale di credito d’imposta per soggetto beneficiario (pari a 30.000,00 euro) ed un plafond generale annuo pari ad 1,5 milioni di euro. Con questo meccanismo, in via teorica (ipotizzando un importo medio di 20.000,00 euro), si potrebbero supportare circa 75 imprese.</w:t>
      </w:r>
    </w:p>
    <w:p w:rsidR="00C7039C" w:rsidRPr="00386E61" w:rsidRDefault="00C7039C" w:rsidP="00C7039C">
      <w:pPr>
        <w:rPr>
          <w:rFonts w:cs="Times New Roman"/>
        </w:rPr>
      </w:pPr>
      <w:r w:rsidRPr="00386E61">
        <w:rPr>
          <w:rFonts w:cs="Times New Roman"/>
        </w:rPr>
        <w:t xml:space="preserve">La fissazione dei criteri e delle modalità applicative e demandata ad un decreto interministeriale MEF-MiSE. </w:t>
      </w:r>
    </w:p>
    <w:p w:rsidR="00C7039C" w:rsidRPr="00386E61" w:rsidRDefault="00C7039C" w:rsidP="00C7039C">
      <w:pPr>
        <w:rPr>
          <w:rFonts w:cs="Times New Roman"/>
        </w:rPr>
      </w:pPr>
      <w:r w:rsidRPr="00386E61">
        <w:rPr>
          <w:rFonts w:cs="Times New Roman"/>
        </w:rPr>
        <w:t>La copertura finanziaria è prevista dall’utilizzo di una piccola quota parte dei 50 milioni di euro, derivanti dal pagamento dei diritti corrisposti dall’utenza sui titoli di proprietà industriale, oggi destinati alla copertura del credito d’imposta per ricerca e sviluppo.</w:t>
      </w:r>
    </w:p>
    <w:p w:rsidR="00C7039C" w:rsidRPr="00386E61" w:rsidRDefault="00C7039C" w:rsidP="00C7039C">
      <w:pPr>
        <w:rPr>
          <w:rFonts w:cs="Times New Roman"/>
        </w:rPr>
      </w:pPr>
    </w:p>
    <w:p w:rsidR="00C7039C" w:rsidRPr="00386E61" w:rsidRDefault="00C7039C" w:rsidP="00C7039C">
      <w:pPr>
        <w:rPr>
          <w:rFonts w:cs="Times New Roman"/>
          <w:b/>
          <w:i/>
        </w:rPr>
      </w:pPr>
      <w:r w:rsidRPr="00386E61">
        <w:rPr>
          <w:rFonts w:cs="Times New Roman"/>
          <w:b/>
          <w:i/>
        </w:rPr>
        <w:t xml:space="preserve">Relazione illustrativa comma </w:t>
      </w:r>
      <w:r w:rsidR="003D27C6">
        <w:rPr>
          <w:rFonts w:cs="Times New Roman"/>
          <w:b/>
          <w:i/>
        </w:rPr>
        <w:t>5</w:t>
      </w:r>
      <w:r w:rsidRPr="00386E61">
        <w:rPr>
          <w:rFonts w:cs="Times New Roman"/>
          <w:b/>
          <w:i/>
        </w:rPr>
        <w:t xml:space="preserve"> (divieto di registrazione di nomi di stati e altri enti territoriali, di segni riconducibili a forze armate e forze dell’ordine nonché di marchi lesivi dell’immagine o della reputazione dell’Italia).</w:t>
      </w:r>
    </w:p>
    <w:p w:rsidR="00C7039C" w:rsidRPr="00386E61" w:rsidRDefault="00C7039C" w:rsidP="00C7039C">
      <w:pPr>
        <w:rPr>
          <w:rFonts w:cs="Times New Roman"/>
        </w:rPr>
      </w:pPr>
      <w:r w:rsidRPr="00386E61">
        <w:rPr>
          <w:rFonts w:cs="Times New Roman"/>
        </w:rPr>
        <w:t>La proposta mira a tutelare maggiormente i segni riconducibili alle forze dell’ordine e alle forze armate e i nomi di Stati, Regioni e Comuni, esplicitandone la tutela e si introduce l’impedimento alla registrazione di parole, figure o segni lesivi dell’immagine o della reputazione dell’Italia.</w:t>
      </w:r>
    </w:p>
    <w:p w:rsidR="00C7039C" w:rsidRPr="00386E61" w:rsidRDefault="00C7039C" w:rsidP="00C7039C">
      <w:pPr>
        <w:rPr>
          <w:rFonts w:cs="Times New Roman"/>
        </w:rPr>
      </w:pPr>
      <w:r w:rsidRPr="00386E61">
        <w:rPr>
          <w:rFonts w:cs="Times New Roman"/>
        </w:rPr>
        <w:t>Spesso infatti si evidenziano, specialmente sui mercati esteri beni che evocano l’Italia (cd Italian Sounding) con marchi contenenti parole (come ad esempio “mafia”), raddoppiando il danno per l’immagine del Paese.</w:t>
      </w:r>
    </w:p>
    <w:p w:rsidR="00C7039C" w:rsidRPr="00386E61" w:rsidRDefault="00C7039C" w:rsidP="00C7039C">
      <w:pPr>
        <w:rPr>
          <w:rFonts w:cs="Times New Roman"/>
        </w:rPr>
      </w:pPr>
      <w:r w:rsidRPr="00386E61">
        <w:rPr>
          <w:rFonts w:cs="Times New Roman"/>
        </w:rPr>
        <w:t>L’esigenza di rafforzare i marchi in Italia sotto questo aspetto è anche utile per legittimarne una maggiore difesa all’estero.</w:t>
      </w:r>
    </w:p>
    <w:p w:rsidR="00C7039C" w:rsidRPr="00386E61" w:rsidRDefault="00C7039C" w:rsidP="00C7039C">
      <w:pPr>
        <w:rPr>
          <w:rFonts w:cs="Times New Roman"/>
          <w:b/>
          <w:i/>
        </w:rPr>
      </w:pPr>
      <w:r w:rsidRPr="00386E61">
        <w:rPr>
          <w:rFonts w:cs="Times New Roman"/>
          <w:b/>
          <w:i/>
        </w:rPr>
        <w:t>Relazione tecnica</w:t>
      </w:r>
      <w:r w:rsidRPr="00386E61">
        <w:rPr>
          <w:rFonts w:cs="Times New Roman"/>
        </w:rPr>
        <w:t xml:space="preserve"> </w:t>
      </w:r>
      <w:r w:rsidRPr="00386E61">
        <w:rPr>
          <w:rFonts w:cs="Times New Roman"/>
          <w:b/>
          <w:i/>
        </w:rPr>
        <w:t xml:space="preserve">comma </w:t>
      </w:r>
      <w:r w:rsidR="003D27C6">
        <w:rPr>
          <w:rFonts w:cs="Times New Roman"/>
          <w:b/>
          <w:i/>
        </w:rPr>
        <w:t>5</w:t>
      </w:r>
      <w:r w:rsidRPr="00386E61">
        <w:rPr>
          <w:rFonts w:cs="Times New Roman"/>
          <w:b/>
          <w:i/>
        </w:rPr>
        <w:t xml:space="preserve"> (divieto di registrazione di nomi di stati e altri enti territoriali, di segni riconducibili a forze armate e forze dell’ordine nonché di marchi lesivi dell’immagine o della reputazione dell’Italia).</w:t>
      </w:r>
    </w:p>
    <w:p w:rsidR="00C7039C" w:rsidRPr="00386E61" w:rsidRDefault="00C7039C" w:rsidP="00C7039C">
      <w:pPr>
        <w:rPr>
          <w:rFonts w:cs="Times New Roman"/>
        </w:rPr>
      </w:pPr>
      <w:r w:rsidRPr="00386E61">
        <w:rPr>
          <w:rFonts w:cs="Times New Roman"/>
        </w:rPr>
        <w:t>Le disposizioni di cui al presente provvedimento hanno carattere ordinamentale e non comportano nuovi o maggiori oneri per lo Stato.</w:t>
      </w:r>
    </w:p>
    <w:p w:rsidR="00C7039C" w:rsidRPr="00386E61" w:rsidRDefault="00C7039C" w:rsidP="00C7039C">
      <w:pPr>
        <w:rPr>
          <w:rFonts w:cs="Times New Roman"/>
        </w:rPr>
      </w:pPr>
    </w:p>
    <w:p w:rsidR="00C7039C" w:rsidRPr="00386E61" w:rsidRDefault="00C7039C" w:rsidP="00C7039C">
      <w:pPr>
        <w:rPr>
          <w:rFonts w:cs="Times New Roman"/>
          <w:b/>
          <w:i/>
        </w:rPr>
      </w:pPr>
      <w:r w:rsidRPr="00386E61">
        <w:rPr>
          <w:rFonts w:cs="Times New Roman"/>
          <w:b/>
          <w:i/>
        </w:rPr>
        <w:t xml:space="preserve">Relazione illustrativa comma </w:t>
      </w:r>
      <w:r w:rsidR="009D699F">
        <w:rPr>
          <w:rFonts w:cs="Times New Roman"/>
          <w:b/>
          <w:i/>
        </w:rPr>
        <w:t>6</w:t>
      </w:r>
      <w:r w:rsidRPr="00386E61">
        <w:rPr>
          <w:rFonts w:cs="Times New Roman"/>
          <w:b/>
          <w:i/>
        </w:rPr>
        <w:t xml:space="preserve"> (estensione della competenza del CNAC alla tutela dell’Italian Sounding; ed Estensione della composizione del consiglio nazionale anticontraffazione AL MIUR).</w:t>
      </w:r>
    </w:p>
    <w:p w:rsidR="00C7039C" w:rsidRPr="00386E61" w:rsidRDefault="00C7039C" w:rsidP="00C7039C">
      <w:pPr>
        <w:rPr>
          <w:rFonts w:cs="Times New Roman"/>
        </w:rPr>
      </w:pPr>
      <w:r w:rsidRPr="00386E61">
        <w:rPr>
          <w:rFonts w:cs="Times New Roman"/>
        </w:rPr>
        <w:t>La proposta mira ad includere il contrasto alla falsa evocazione dell’origine italiana (cd. Italian Sounding) nell’ambito delle competenze del Consiglio Nazionale Anticontraffazione di cui all’art. 145 del decreto legislativo 10 febbraio 2005, n.30, codice di proprietà industriale, prevedendo anche un cambio di denominazione. Tale inserimento si rende necessario alla luce della rilevanza che sempre più va assumendo il fenomeno della falsa evocazione dell’origine italiana dei prodotti, causa di una sleale concorrenza con le imprese italiane che investono nella qualità, con conseguenti rilevanti perdite per le imprese italiane.</w:t>
      </w:r>
    </w:p>
    <w:p w:rsidR="00C7039C" w:rsidRPr="00386E61" w:rsidRDefault="00C7039C" w:rsidP="00C7039C">
      <w:pPr>
        <w:rPr>
          <w:rFonts w:cs="Times New Roman"/>
        </w:rPr>
      </w:pPr>
      <w:r w:rsidRPr="00386E61">
        <w:rPr>
          <w:rFonts w:cs="Times New Roman"/>
        </w:rPr>
        <w:t xml:space="preserve">La disposizione prevede inoltre l’inserimento tra i membri effettivi del Consiglio Nazionale Anticontraffazione anche di un rappresentante del Ministero dell’istruzione, dell’università e della ricerca (MIUR), a fronte della crescente necessità di coinvolgere le giovani generazioni in attività di formazione e sensibilizzazione sul tema della contraffazione e della falsa evocazione dell’origine italiana dei prodotti. </w:t>
      </w:r>
    </w:p>
    <w:p w:rsidR="00C7039C" w:rsidRPr="00386E61" w:rsidRDefault="00C7039C" w:rsidP="00C7039C">
      <w:pPr>
        <w:rPr>
          <w:rFonts w:cs="Times New Roman"/>
          <w:b/>
          <w:i/>
        </w:rPr>
      </w:pPr>
    </w:p>
    <w:p w:rsidR="00C7039C" w:rsidRPr="00386E61" w:rsidRDefault="00C7039C" w:rsidP="00C7039C">
      <w:pPr>
        <w:rPr>
          <w:rFonts w:cs="Times New Roman"/>
          <w:b/>
          <w:i/>
        </w:rPr>
      </w:pPr>
      <w:r w:rsidRPr="00386E61">
        <w:rPr>
          <w:rFonts w:cs="Times New Roman"/>
          <w:b/>
          <w:i/>
        </w:rPr>
        <w:t xml:space="preserve">Relazione tecnica comma </w:t>
      </w:r>
      <w:r w:rsidR="003D27C6">
        <w:rPr>
          <w:rFonts w:cs="Times New Roman"/>
          <w:b/>
          <w:i/>
        </w:rPr>
        <w:t>6</w:t>
      </w:r>
      <w:r w:rsidRPr="00386E61">
        <w:rPr>
          <w:rFonts w:cs="Times New Roman"/>
          <w:b/>
          <w:i/>
        </w:rPr>
        <w:t xml:space="preserve"> (estensione della competenza del CNAC alla tutela dell’Italian Sounding; ed Estensione della composizione del consiglio nazionale anticontraffazione AL MIUR).</w:t>
      </w:r>
    </w:p>
    <w:p w:rsidR="00C7039C" w:rsidRPr="00386E61" w:rsidRDefault="00C7039C" w:rsidP="00C7039C">
      <w:pPr>
        <w:rPr>
          <w:rFonts w:cs="Times New Roman"/>
        </w:rPr>
      </w:pPr>
      <w:r w:rsidRPr="00386E61">
        <w:rPr>
          <w:rFonts w:cs="Times New Roman"/>
        </w:rPr>
        <w:t>Le disposizioni di cui al presente provvedimento hanno carattere ordinamentale e non comportano nuovi o maggiori oneri per lo Stato.</w:t>
      </w:r>
    </w:p>
    <w:p w:rsidR="00C7039C" w:rsidRPr="00386E61" w:rsidRDefault="00C7039C" w:rsidP="00C7039C">
      <w:pPr>
        <w:widowControl w:val="0"/>
        <w:rPr>
          <w:rFonts w:cs="Times New Roman"/>
          <w:i/>
        </w:rPr>
      </w:pPr>
    </w:p>
    <w:p w:rsidR="00C7039C" w:rsidRPr="00386E61" w:rsidRDefault="00C7039C" w:rsidP="00C7039C">
      <w:pPr>
        <w:widowControl w:val="0"/>
        <w:rPr>
          <w:rFonts w:cs="Times New Roman"/>
          <w:b/>
          <w:i/>
        </w:rPr>
      </w:pPr>
      <w:r w:rsidRPr="00386E61">
        <w:rPr>
          <w:rFonts w:cs="Times New Roman"/>
          <w:b/>
          <w:i/>
        </w:rPr>
        <w:t xml:space="preserve">Relazione illustrativa commi da </w:t>
      </w:r>
      <w:r w:rsidR="003D27C6">
        <w:rPr>
          <w:rFonts w:cs="Times New Roman"/>
          <w:b/>
          <w:i/>
        </w:rPr>
        <w:t>7</w:t>
      </w:r>
      <w:r w:rsidRPr="00386E61">
        <w:rPr>
          <w:rFonts w:cs="Times New Roman"/>
          <w:b/>
          <w:i/>
        </w:rPr>
        <w:t xml:space="preserve"> a 1</w:t>
      </w:r>
      <w:r w:rsidR="003D27C6">
        <w:rPr>
          <w:rFonts w:cs="Times New Roman"/>
          <w:b/>
          <w:i/>
        </w:rPr>
        <w:t>0</w:t>
      </w:r>
      <w:r w:rsidRPr="00386E61">
        <w:rPr>
          <w:rFonts w:cs="Times New Roman"/>
          <w:b/>
          <w:i/>
        </w:rPr>
        <w:t xml:space="preserve"> (Voucher 3i– investire in innovazione)</w:t>
      </w:r>
    </w:p>
    <w:p w:rsidR="00C7039C" w:rsidRPr="00386E61" w:rsidRDefault="00C7039C" w:rsidP="00C7039C">
      <w:pPr>
        <w:widowControl w:val="0"/>
        <w:rPr>
          <w:rFonts w:cs="Times New Roman"/>
        </w:rPr>
      </w:pPr>
      <w:r w:rsidRPr="00386E61">
        <w:rPr>
          <w:rFonts w:cs="Times New Roman"/>
        </w:rPr>
        <w:t>Il processo di valorizzazione dell’innovazione può risultare oneroso per le imprese ed in particolare per start up. Ancor di più questo processo è inderogabile per le start up innovative che incontrano ostacoli nel processo di valorizzazione delle proprie invenzioni, anche e soprattutto nella prima fase di questo processo cioè in quella di brevettazione.</w:t>
      </w:r>
    </w:p>
    <w:p w:rsidR="00C7039C" w:rsidRPr="00386E61" w:rsidRDefault="00C7039C" w:rsidP="00C7039C">
      <w:pPr>
        <w:widowControl w:val="0"/>
        <w:rPr>
          <w:rFonts w:cs="Times New Roman"/>
        </w:rPr>
      </w:pPr>
      <w:r w:rsidRPr="00386E61">
        <w:rPr>
          <w:rFonts w:cs="Times New Roman"/>
        </w:rPr>
        <w:t>Pertanto si intende supportare questo percorso attraverso l’istituzione di un voucher che le start up innovative possono spendere per acquisire servizi specialistici riferiti in particolare a tre attività:</w:t>
      </w:r>
    </w:p>
    <w:p w:rsidR="00C7039C" w:rsidRPr="00386E61" w:rsidRDefault="00C7039C" w:rsidP="00C7039C">
      <w:pPr>
        <w:widowControl w:val="0"/>
        <w:rPr>
          <w:rFonts w:cs="Times New Roman"/>
        </w:rPr>
      </w:pPr>
      <w:r w:rsidRPr="00386E61">
        <w:rPr>
          <w:rFonts w:cs="Times New Roman"/>
        </w:rPr>
        <w:t>1)</w:t>
      </w:r>
      <w:r w:rsidRPr="00386E61">
        <w:rPr>
          <w:rFonts w:cs="Times New Roman"/>
        </w:rPr>
        <w:tab/>
        <w:t>Verifica della brevettabilità dell’invenzione e ricerche di anteriorità preventive</w:t>
      </w:r>
    </w:p>
    <w:p w:rsidR="00C7039C" w:rsidRPr="00386E61" w:rsidRDefault="00C7039C" w:rsidP="00C7039C">
      <w:pPr>
        <w:widowControl w:val="0"/>
        <w:rPr>
          <w:rFonts w:cs="Times New Roman"/>
        </w:rPr>
      </w:pPr>
      <w:r w:rsidRPr="00386E61">
        <w:rPr>
          <w:rFonts w:cs="Times New Roman"/>
        </w:rPr>
        <w:t>2)</w:t>
      </w:r>
      <w:r w:rsidRPr="00386E61">
        <w:rPr>
          <w:rFonts w:cs="Times New Roman"/>
        </w:rPr>
        <w:tab/>
        <w:t>Stesura della domanda di brevetto e di deposito presso l’Ufficio Italiano Brevetti e Marchi</w:t>
      </w:r>
    </w:p>
    <w:p w:rsidR="00C7039C" w:rsidRPr="00386E61" w:rsidRDefault="00C7039C" w:rsidP="00C7039C">
      <w:pPr>
        <w:widowControl w:val="0"/>
        <w:rPr>
          <w:rFonts w:cs="Times New Roman"/>
        </w:rPr>
      </w:pPr>
      <w:r w:rsidRPr="00386E61">
        <w:rPr>
          <w:rFonts w:cs="Times New Roman"/>
        </w:rPr>
        <w:t>3)</w:t>
      </w:r>
      <w:r w:rsidRPr="00386E61">
        <w:rPr>
          <w:rFonts w:cs="Times New Roman"/>
        </w:rPr>
        <w:tab/>
        <w:t>Estensione all’estero della domanda nazionale</w:t>
      </w:r>
    </w:p>
    <w:p w:rsidR="00C7039C" w:rsidRPr="00386E61" w:rsidRDefault="00C7039C" w:rsidP="00C7039C">
      <w:pPr>
        <w:widowControl w:val="0"/>
        <w:rPr>
          <w:rFonts w:cs="Times New Roman"/>
        </w:rPr>
      </w:pPr>
      <w:r w:rsidRPr="00386E61">
        <w:rPr>
          <w:rFonts w:cs="Times New Roman"/>
        </w:rPr>
        <w:t>I servizi possono riguardare una o più delle predette attività.</w:t>
      </w:r>
    </w:p>
    <w:p w:rsidR="00C7039C" w:rsidRPr="00386E61" w:rsidRDefault="00C7039C" w:rsidP="00C7039C">
      <w:pPr>
        <w:widowControl w:val="0"/>
        <w:rPr>
          <w:rFonts w:cs="Times New Roman"/>
        </w:rPr>
      </w:pPr>
      <w:r w:rsidRPr="00386E61">
        <w:rPr>
          <w:rFonts w:cs="Times New Roman"/>
        </w:rPr>
        <w:t>La definizione delle modalità attuative è demandata ad un decreto del Ministero dello sviluppo economico che può prevedere l’utilizzo sia di un soggetto gestore che dei consulenti in proprietà industriale e avvocati che in base alla normativa vigente possono svolgere l’attività di mandatario per il deposito delle domande di brevetto.</w:t>
      </w:r>
    </w:p>
    <w:p w:rsidR="00C7039C" w:rsidRPr="00386E61" w:rsidRDefault="00C7039C" w:rsidP="00C7039C">
      <w:pPr>
        <w:widowControl w:val="0"/>
        <w:rPr>
          <w:rFonts w:cs="Times New Roman"/>
        </w:rPr>
      </w:pPr>
      <w:r w:rsidRPr="00386E61">
        <w:rPr>
          <w:rFonts w:cs="Times New Roman"/>
        </w:rPr>
        <w:t>Il Voucher è concesso all’impresa che lo utilizza per il pagamento dei predetti servizi.</w:t>
      </w:r>
    </w:p>
    <w:p w:rsidR="00C7039C" w:rsidRPr="00386E61" w:rsidRDefault="00C7039C" w:rsidP="00C7039C">
      <w:pPr>
        <w:widowControl w:val="0"/>
        <w:rPr>
          <w:rFonts w:cs="Times New Roman"/>
        </w:rPr>
      </w:pPr>
      <w:r w:rsidRPr="00386E61">
        <w:rPr>
          <w:rFonts w:cs="Times New Roman"/>
        </w:rPr>
        <w:t xml:space="preserve">Con il V3I (voucher 3I) si agevolano le start up innovative ad intraprendere la prima fase del percorso di valorizzazione delle proprie invenzioni, basilari per il loro sviluppo. </w:t>
      </w:r>
    </w:p>
    <w:p w:rsidR="00C7039C" w:rsidRPr="00386E61" w:rsidRDefault="00C7039C" w:rsidP="00C7039C">
      <w:pPr>
        <w:widowControl w:val="0"/>
        <w:rPr>
          <w:rFonts w:cs="Times New Roman"/>
        </w:rPr>
      </w:pPr>
      <w:r w:rsidRPr="00386E61">
        <w:rPr>
          <w:rFonts w:cs="Times New Roman"/>
        </w:rPr>
        <w:t>Con il voucher si completa il raggio di azione di intervento del programma Smart&amp;Start destinato alle start up innovative, anzi in alcuni casi può rappresentarne la parte propedeutica.</w:t>
      </w:r>
    </w:p>
    <w:p w:rsidR="00C7039C" w:rsidRPr="00386E61" w:rsidRDefault="00C7039C" w:rsidP="00C7039C">
      <w:pPr>
        <w:widowControl w:val="0"/>
        <w:rPr>
          <w:rFonts w:cs="Times New Roman"/>
          <w:b/>
          <w:i/>
        </w:rPr>
      </w:pPr>
      <w:r w:rsidRPr="00386E61">
        <w:rPr>
          <w:rFonts w:cs="Times New Roman"/>
          <w:b/>
          <w:i/>
        </w:rPr>
        <w:t xml:space="preserve">Relazione tecnica commi da </w:t>
      </w:r>
      <w:r w:rsidR="003D27C6">
        <w:rPr>
          <w:rFonts w:cs="Times New Roman"/>
          <w:b/>
          <w:i/>
        </w:rPr>
        <w:t>7</w:t>
      </w:r>
      <w:r w:rsidRPr="00386E61">
        <w:rPr>
          <w:rFonts w:cs="Times New Roman"/>
          <w:b/>
          <w:i/>
        </w:rPr>
        <w:t xml:space="preserve"> a 1</w:t>
      </w:r>
      <w:r w:rsidR="002A1591">
        <w:rPr>
          <w:rFonts w:cs="Times New Roman"/>
          <w:b/>
          <w:i/>
        </w:rPr>
        <w:t>0</w:t>
      </w:r>
      <w:r w:rsidRPr="00386E61">
        <w:rPr>
          <w:rFonts w:cs="Times New Roman"/>
          <w:b/>
          <w:i/>
        </w:rPr>
        <w:t xml:space="preserve"> (Voucher 3i– investire in innovazione)</w:t>
      </w:r>
    </w:p>
    <w:p w:rsidR="00C7039C" w:rsidRPr="00386E61" w:rsidRDefault="00C7039C" w:rsidP="00C7039C">
      <w:pPr>
        <w:widowControl w:val="0"/>
        <w:rPr>
          <w:rFonts w:cs="Times New Roman"/>
        </w:rPr>
      </w:pPr>
      <w:r w:rsidRPr="00386E61">
        <w:rPr>
          <w:rFonts w:cs="Times New Roman"/>
        </w:rPr>
        <w:t>La copertura finanziaria degli oneri è prevista a carico delle risorse disponibili per gli interventi di cui al decreto del Ministro dello sviluppo economico 24 settembre 2014, pubblicato nella Gazzetta Ufficiale n. 264 del 13 novembre 2014, per il sostegno alla nascita e allo sviluppo di imprese start-up innovative (finanziamento del programma Smart&amp;Start destinato alle start up innovative) ed è fissata in misura annua non superiore a 7 milioni di euro. Se si ipotizzasse un importo massimo del voucher pari a 15.000 euro si potrebbero agevolare per anno circa 700 imprese (ipotizzando che non tutti i soggetti interessati utilizzino il voucher nella misura massima).</w:t>
      </w:r>
    </w:p>
    <w:p w:rsidR="00C7039C" w:rsidRPr="00386E61" w:rsidRDefault="00C7039C" w:rsidP="00C7039C">
      <w:pPr>
        <w:widowControl w:val="0"/>
        <w:rPr>
          <w:rFonts w:cs="Times New Roman"/>
        </w:rPr>
      </w:pPr>
    </w:p>
    <w:p w:rsidR="00C7039C" w:rsidRPr="00386E61" w:rsidRDefault="00C7039C" w:rsidP="00C7039C">
      <w:pPr>
        <w:widowControl w:val="0"/>
        <w:rPr>
          <w:rFonts w:cs="Times New Roman"/>
          <w:b/>
          <w:i/>
        </w:rPr>
      </w:pPr>
      <w:r w:rsidRPr="00386E61">
        <w:rPr>
          <w:rFonts w:cs="Times New Roman"/>
          <w:b/>
          <w:i/>
        </w:rPr>
        <w:t xml:space="preserve">Relazione illustrativa comma </w:t>
      </w:r>
      <w:r w:rsidR="00BE060D">
        <w:rPr>
          <w:rFonts w:cs="Times New Roman"/>
          <w:b/>
          <w:i/>
        </w:rPr>
        <w:t>1</w:t>
      </w:r>
      <w:r w:rsidR="00C47F0A">
        <w:rPr>
          <w:rFonts w:cs="Times New Roman"/>
          <w:b/>
          <w:i/>
        </w:rPr>
        <w:t>1</w:t>
      </w:r>
      <w:r w:rsidRPr="00386E61">
        <w:rPr>
          <w:rFonts w:cs="Times New Roman"/>
          <w:b/>
          <w:i/>
        </w:rPr>
        <w:t xml:space="preserve"> interventi agevolativi in favore delle piccole e medie imprese per la valorizzazione dei titoli di proprietà industriale (Brevetti+, marchi+, disegni+)</w:t>
      </w:r>
    </w:p>
    <w:p w:rsidR="00C7039C" w:rsidRPr="00386E61" w:rsidRDefault="00C7039C" w:rsidP="00C7039C">
      <w:pPr>
        <w:widowControl w:val="0"/>
        <w:rPr>
          <w:rFonts w:cs="Times New Roman"/>
        </w:rPr>
      </w:pPr>
      <w:r w:rsidRPr="00386E61">
        <w:rPr>
          <w:rFonts w:cs="Times New Roman"/>
        </w:rPr>
        <w:t>Con l’atto di programmazione introdotto dal presente articolo si intende:</w:t>
      </w:r>
    </w:p>
    <w:p w:rsidR="00C7039C" w:rsidRPr="00386E61" w:rsidRDefault="00C7039C" w:rsidP="00826FD7">
      <w:pPr>
        <w:pStyle w:val="Paragrafoelenco"/>
        <w:widowControl w:val="0"/>
        <w:numPr>
          <w:ilvl w:val="0"/>
          <w:numId w:val="18"/>
        </w:numPr>
        <w:spacing w:after="0" w:line="240" w:lineRule="auto"/>
        <w:rPr>
          <w:rFonts w:ascii="Times New Roman" w:hAnsi="Times New Roman"/>
          <w:lang w:val="it-IT"/>
        </w:rPr>
      </w:pPr>
      <w:r w:rsidRPr="00386E61">
        <w:rPr>
          <w:rFonts w:ascii="Times New Roman" w:hAnsi="Times New Roman"/>
          <w:lang w:val="it-IT"/>
        </w:rPr>
        <w:t>definire preventivamente l’attuazione delle misure consentendo così alle PMI di avere notizie più certe sui tempi di operatività delle misure di sostegno agevolando quindi le loro strategie di sviluppo basate sulla valorizzazione dei titoli di proprietà industriale;</w:t>
      </w:r>
    </w:p>
    <w:p w:rsidR="00C7039C" w:rsidRPr="00386E61" w:rsidRDefault="00C7039C" w:rsidP="00826FD7">
      <w:pPr>
        <w:pStyle w:val="Paragrafoelenco"/>
        <w:widowControl w:val="0"/>
        <w:numPr>
          <w:ilvl w:val="0"/>
          <w:numId w:val="18"/>
        </w:numPr>
        <w:spacing w:after="0" w:line="240" w:lineRule="auto"/>
        <w:rPr>
          <w:rFonts w:ascii="Times New Roman" w:hAnsi="Times New Roman"/>
          <w:lang w:val="it-IT"/>
        </w:rPr>
      </w:pPr>
      <w:r w:rsidRPr="00386E61">
        <w:rPr>
          <w:rFonts w:ascii="Times New Roman" w:hAnsi="Times New Roman"/>
          <w:lang w:val="it-IT"/>
        </w:rPr>
        <w:t xml:space="preserve">conformare i bandi alle esigenze delle piccole e medie imprese, in particolare delle start up e delle imprese giovanili, anche con la previsione di agevolazioni che possono rendere più agevole l’accesso al sistema della proprietà industriale, ciò soprattutto in riferimento ai brevetti. </w:t>
      </w:r>
    </w:p>
    <w:p w:rsidR="00C7039C" w:rsidRPr="00386E61" w:rsidRDefault="00C7039C" w:rsidP="00C7039C">
      <w:pPr>
        <w:widowControl w:val="0"/>
        <w:rPr>
          <w:rFonts w:cs="Times New Roman"/>
        </w:rPr>
      </w:pPr>
    </w:p>
    <w:p w:rsidR="00C7039C" w:rsidRPr="00386E61" w:rsidRDefault="00C7039C" w:rsidP="00C7039C">
      <w:pPr>
        <w:widowControl w:val="0"/>
        <w:rPr>
          <w:rFonts w:cs="Times New Roman"/>
        </w:rPr>
      </w:pPr>
      <w:r w:rsidRPr="00386E61">
        <w:rPr>
          <w:rFonts w:cs="Times New Roman"/>
          <w:b/>
          <w:i/>
        </w:rPr>
        <w:t>Relazione tecnica comma 1</w:t>
      </w:r>
      <w:r w:rsidR="00C47F0A">
        <w:rPr>
          <w:rFonts w:cs="Times New Roman"/>
          <w:b/>
          <w:i/>
        </w:rPr>
        <w:t>1</w:t>
      </w:r>
      <w:r w:rsidRPr="00386E61">
        <w:rPr>
          <w:rFonts w:cs="Times New Roman"/>
          <w:b/>
          <w:i/>
        </w:rPr>
        <w:t xml:space="preserve"> interventi agevolativi in favore delle piccole e medie imprese per la valorizzazione dei titoli di proprietà industriale (Brevetti+, marchi+, disegni+)</w:t>
      </w:r>
    </w:p>
    <w:p w:rsidR="00C7039C" w:rsidRPr="00386E61" w:rsidRDefault="00C7039C" w:rsidP="00C7039C">
      <w:pPr>
        <w:widowControl w:val="0"/>
        <w:rPr>
          <w:rFonts w:cs="Times New Roman"/>
        </w:rPr>
      </w:pPr>
      <w:r w:rsidRPr="00386E61">
        <w:rPr>
          <w:rFonts w:cs="Times New Roman"/>
        </w:rPr>
        <w:t>Il presente articolo non determina nuovi costi per l’amministrazione, trovando copertura finanziaria dalle disponibilità sul capitolo 7476 “ Interventi in materia di brevettualità e per le attività connesse con la ricerca di anteriorità” e dalle riassegnazioni di cui all’art. 1, comma 851, della Legge 27 dicembre 2006, n.296.</w:t>
      </w:r>
    </w:p>
    <w:p w:rsidR="00C7039C" w:rsidRPr="00386E61" w:rsidRDefault="00C7039C" w:rsidP="00C7039C">
      <w:pPr>
        <w:widowControl w:val="0"/>
        <w:rPr>
          <w:rFonts w:cs="Times New Roman"/>
        </w:rPr>
      </w:pPr>
    </w:p>
    <w:p w:rsidR="00C7039C" w:rsidRPr="00386E61" w:rsidRDefault="00C7039C" w:rsidP="00C7039C">
      <w:pPr>
        <w:widowControl w:val="0"/>
        <w:rPr>
          <w:rFonts w:cs="Times New Roman"/>
          <w:b/>
          <w:i/>
        </w:rPr>
      </w:pPr>
      <w:r w:rsidRPr="00386E61">
        <w:rPr>
          <w:rFonts w:cs="Times New Roman"/>
          <w:b/>
          <w:i/>
        </w:rPr>
        <w:t>Relazione illustrativa commi da 1</w:t>
      </w:r>
      <w:r w:rsidR="00C47F0A">
        <w:rPr>
          <w:rFonts w:cs="Times New Roman"/>
          <w:b/>
          <w:i/>
        </w:rPr>
        <w:t>2</w:t>
      </w:r>
      <w:r w:rsidRPr="00386E61">
        <w:rPr>
          <w:rFonts w:cs="Times New Roman"/>
          <w:b/>
          <w:i/>
        </w:rPr>
        <w:t xml:space="preserve"> a 1</w:t>
      </w:r>
      <w:r w:rsidR="00C47F0A">
        <w:rPr>
          <w:rFonts w:cs="Times New Roman"/>
          <w:b/>
          <w:i/>
        </w:rPr>
        <w:t>4</w:t>
      </w:r>
      <w:r w:rsidRPr="00386E61">
        <w:rPr>
          <w:rFonts w:cs="Times New Roman"/>
          <w:b/>
          <w:i/>
        </w:rPr>
        <w:t xml:space="preserve"> (Agevolazioni all’uso di “marchi collettivi e di certificazione”)</w:t>
      </w:r>
    </w:p>
    <w:p w:rsidR="00C7039C" w:rsidRPr="00386E61" w:rsidRDefault="00C7039C" w:rsidP="00C7039C">
      <w:pPr>
        <w:widowControl w:val="0"/>
        <w:rPr>
          <w:rFonts w:cs="Times New Roman"/>
        </w:rPr>
      </w:pPr>
      <w:r w:rsidRPr="00386E61">
        <w:rPr>
          <w:rFonts w:cs="Times New Roman"/>
        </w:rPr>
        <w:t>La disposizione in esame si propone di favorire la promozione sui mercati esteri di marchi collettivi o marchi di certificazione privati finalizzati a valorizzare e rendere riconoscibile l’eccellenza dei prodotti italiani.</w:t>
      </w:r>
    </w:p>
    <w:p w:rsidR="00C7039C" w:rsidRPr="00386E61" w:rsidRDefault="00C7039C" w:rsidP="00C7039C">
      <w:pPr>
        <w:widowControl w:val="0"/>
        <w:rPr>
          <w:rFonts w:cs="Times New Roman"/>
        </w:rPr>
      </w:pPr>
      <w:r w:rsidRPr="00386E61">
        <w:rPr>
          <w:rFonts w:cs="Times New Roman"/>
        </w:rPr>
        <w:t>Il quadro normativo comunitario, infatti, osta all’adozione di provvedimenti nazionali che intendano disciplinare, ancorché su base volontaria, l’adozione di marchi collettivi o di certificazione di proprietà dello Stato per promuovere i prodotti nazionali, ritenuti dalla Corte di Giustizia dell’Unione europea incompatibili con il mercato comune. In tale contesto rimane libera all’iniziativa privata, dei settori che si ritenessero interessati, la possibilità di ricorrere all’istituto del marchio collettivo o al marchio di certificazione privato previsti sia a livello nazionale che dell’unione europea oltre che internazionale. Tali marchi, che potrebbero anche essere gestiti in forma consortile od equivalente, garantirebbero qualità omogenee dei prodotti attraverso l’osservanza ai vari disciplinari.</w:t>
      </w:r>
    </w:p>
    <w:p w:rsidR="00C7039C" w:rsidRPr="00386E61" w:rsidRDefault="00C7039C" w:rsidP="00C7039C">
      <w:pPr>
        <w:widowControl w:val="0"/>
        <w:rPr>
          <w:rFonts w:cs="Times New Roman"/>
          <w:b/>
          <w:i/>
        </w:rPr>
      </w:pPr>
      <w:r w:rsidRPr="00386E61">
        <w:rPr>
          <w:rFonts w:cs="Times New Roman"/>
          <w:b/>
          <w:i/>
        </w:rPr>
        <w:t>Relazione tecnica commi da 1</w:t>
      </w:r>
      <w:r w:rsidR="00C47F0A">
        <w:rPr>
          <w:rFonts w:cs="Times New Roman"/>
          <w:b/>
          <w:i/>
        </w:rPr>
        <w:t>2</w:t>
      </w:r>
      <w:r w:rsidRPr="00386E61">
        <w:rPr>
          <w:rFonts w:cs="Times New Roman"/>
          <w:b/>
          <w:i/>
        </w:rPr>
        <w:t xml:space="preserve"> a 1</w:t>
      </w:r>
      <w:r w:rsidR="00C47F0A">
        <w:rPr>
          <w:rFonts w:cs="Times New Roman"/>
          <w:b/>
          <w:i/>
        </w:rPr>
        <w:t>4</w:t>
      </w:r>
      <w:r w:rsidRPr="00386E61">
        <w:rPr>
          <w:rFonts w:cs="Times New Roman"/>
          <w:b/>
          <w:i/>
        </w:rPr>
        <w:t xml:space="preserve"> Agevolazioni all’uso di “marchi collettivi e di certificazione”</w:t>
      </w:r>
    </w:p>
    <w:p w:rsidR="00C7039C" w:rsidRPr="00386E61" w:rsidRDefault="00C7039C" w:rsidP="00C7039C">
      <w:pPr>
        <w:widowControl w:val="0"/>
        <w:rPr>
          <w:rFonts w:cs="Times New Roman"/>
        </w:rPr>
      </w:pPr>
      <w:r w:rsidRPr="00386E61">
        <w:rPr>
          <w:rFonts w:cs="Times New Roman"/>
        </w:rPr>
        <w:t>Agli oneri derivanti dalla concessione delle agevolazioni di cui al comma 6, si provvede mediante le risorse dalle risorse disponibili sul capitolo 7476 “Interventi in materia di brevettualità e per le attività connesse con la ricerca di anteriorità” ed è fissata nella misura massima di euro un milione per anno.</w:t>
      </w:r>
    </w:p>
    <w:p w:rsidR="00C7039C" w:rsidRPr="00386E61" w:rsidRDefault="00C7039C" w:rsidP="00C7039C">
      <w:pPr>
        <w:widowControl w:val="0"/>
        <w:rPr>
          <w:rFonts w:cs="Times New Roman"/>
          <w:i/>
        </w:rPr>
      </w:pPr>
    </w:p>
    <w:p w:rsidR="00C7039C" w:rsidRPr="00386E61" w:rsidRDefault="00C7039C" w:rsidP="00C7039C">
      <w:pPr>
        <w:widowControl w:val="0"/>
        <w:rPr>
          <w:rFonts w:cs="Times New Roman"/>
          <w:b/>
          <w:i/>
        </w:rPr>
      </w:pPr>
      <w:r w:rsidRPr="00386E61">
        <w:rPr>
          <w:rFonts w:cs="Times New Roman"/>
          <w:b/>
          <w:i/>
        </w:rPr>
        <w:t>Relazione illustrativa commi 1</w:t>
      </w:r>
      <w:r w:rsidR="00C61B5B">
        <w:rPr>
          <w:rFonts w:cs="Times New Roman"/>
          <w:b/>
          <w:i/>
        </w:rPr>
        <w:t>6</w:t>
      </w:r>
      <w:r w:rsidR="003D27C6">
        <w:rPr>
          <w:rFonts w:cs="Times New Roman"/>
          <w:b/>
          <w:i/>
        </w:rPr>
        <w:t xml:space="preserve"> e 1</w:t>
      </w:r>
      <w:r w:rsidR="00C61B5B">
        <w:rPr>
          <w:rFonts w:cs="Times New Roman"/>
          <w:b/>
          <w:i/>
        </w:rPr>
        <w:t>7</w:t>
      </w:r>
      <w:r w:rsidRPr="00386E61">
        <w:rPr>
          <w:rFonts w:cs="Times New Roman"/>
          <w:b/>
          <w:i/>
        </w:rPr>
        <w:t xml:space="preserve"> (apertura della fase nazionale delle domande internazionali di brevetto secondo il patent cooperation treaty)</w:t>
      </w:r>
    </w:p>
    <w:p w:rsidR="00C7039C" w:rsidRPr="00386E61" w:rsidRDefault="00C7039C" w:rsidP="00C7039C">
      <w:pPr>
        <w:widowControl w:val="0"/>
        <w:rPr>
          <w:rFonts w:cs="Times New Roman"/>
        </w:rPr>
      </w:pPr>
      <w:r w:rsidRPr="00386E61">
        <w:rPr>
          <w:rFonts w:cs="Times New Roman"/>
        </w:rPr>
        <w:t xml:space="preserve">Le disposizioni prevedono l’introduzione della possibilità per i titolari di una domanda internazionale di brevetto designante l’Italia di avvalersi della procedura di esame presso l’Ufficio italiano brevetti e marchi (“fase nazionale”) in aggiunta alla possibilità di avvalersi dell’esame svolto presso l’Ufficio europeo dei brevetti nella cosiddetta “fase regionale”. A tal fine vengono previste modifiche all’articolo 55 del Codice della Proprietà Industriale (d. lgs n. 10 febbraio 2005, n. 30) e l’introduzione dell’articolo 160-bis. </w:t>
      </w:r>
    </w:p>
    <w:p w:rsidR="00C7039C" w:rsidRPr="00386E61" w:rsidRDefault="00C7039C" w:rsidP="00C7039C">
      <w:pPr>
        <w:widowControl w:val="0"/>
        <w:rPr>
          <w:rFonts w:cs="Times New Roman"/>
        </w:rPr>
      </w:pPr>
      <w:r w:rsidRPr="00386E61">
        <w:rPr>
          <w:rFonts w:cs="Times New Roman"/>
        </w:rPr>
        <w:t xml:space="preserve">Tali modifiche consentono al titolare di una domanda internazionale di brevetto - prevista dal Trattato di cooperazione in materia di brevetti, ratificato con legge 26 marzo 1978, n. 260 - che abbia designato l’Italia, di scegliere, entro 30 mesi dalla data di deposito, se avvalersi della procedura di esame presso l’Ufficio italiano brevetti e marchi o se avvalersi dell’esame svolto presso l’Ufficio europeo dei brevetti nella cosiddetta “fase regionale” (Euro PCT). Al momento della ratifica del suddetto Trattato, la legge 21 dicembre 1984, n. 890, recante le norme di attuazione, aveva previsto che la designazione o l’elezione dell’Italia dovesse essere interpretata come equivalente ad una designazione o elezione di domanda di brevetto europeo nella quale fosse designata l’Italia. Ciò in quanto, all’epoca, non era in vigore in Italia una procedura di esame di merito delle domande di brevetto italiane e il legislatore aveva preferito l’utilizzo della sola procedura del brevetto europeo che, attraverso l’esame di merito, costituiva un filtro delle domande che avrebbero potuto poi essere oggetto di convalidazione nazionale. </w:t>
      </w:r>
    </w:p>
    <w:p w:rsidR="00C7039C" w:rsidRPr="00386E61" w:rsidRDefault="00C7039C" w:rsidP="00C7039C">
      <w:pPr>
        <w:widowControl w:val="0"/>
        <w:rPr>
          <w:rFonts w:cs="Times New Roman"/>
        </w:rPr>
      </w:pPr>
      <w:r w:rsidRPr="00386E61">
        <w:rPr>
          <w:rFonts w:cs="Times New Roman"/>
        </w:rPr>
        <w:t xml:space="preserve">Oggi, la situazione è fondamentalmente cambiata in quanto già l’articolo 170 del codice, al comma 1, lettera b) prevede l’esame dal momento in cui fosse disciplinata la ricerca sullo stato della tecnica anteriore; ciò che poi è avvenuto con il decreto del Ministero dello sviluppo economico del 3 ottobre 2007 e con il successivo decreto del 27 giugno 2008. </w:t>
      </w:r>
    </w:p>
    <w:p w:rsidR="00C7039C" w:rsidRPr="00386E61" w:rsidRDefault="00C7039C" w:rsidP="00C7039C">
      <w:pPr>
        <w:widowControl w:val="0"/>
        <w:rPr>
          <w:rFonts w:cs="Times New Roman"/>
        </w:rPr>
      </w:pPr>
      <w:r w:rsidRPr="00386E61">
        <w:rPr>
          <w:rFonts w:cs="Times New Roman"/>
        </w:rPr>
        <w:t>Introdotta e collaudata ormai da diversi anni la procedura di ricerca di anteriorità e di esame sostanziale delle domande di brevetto in Italia, consente di ammettere la possibilità, prevista dal suddetto Trattato di cooperazione in materia di brevetti, di svolgere presso l’Ufficio Italiano Brevetti e Marchi anche la procedura di riconoscimento e di esame nazionale della domanda internazionale, come avviene nella grande maggioranza dei paesi membri del Trattato.</w:t>
      </w:r>
    </w:p>
    <w:p w:rsidR="00C7039C" w:rsidRPr="00386E61" w:rsidRDefault="00C7039C" w:rsidP="00C7039C">
      <w:pPr>
        <w:widowControl w:val="0"/>
        <w:rPr>
          <w:rFonts w:cs="Times New Roman"/>
        </w:rPr>
      </w:pPr>
      <w:r w:rsidRPr="00386E61">
        <w:rPr>
          <w:rFonts w:cs="Times New Roman"/>
        </w:rPr>
        <w:t xml:space="preserve">La possibilità di entrare nella fase nazionale di esame direttamente da una domanda internazionale di brevetto porterebbe i seguenti vantaggi: </w:t>
      </w:r>
    </w:p>
    <w:p w:rsidR="00C7039C" w:rsidRPr="00386E61" w:rsidRDefault="00C7039C" w:rsidP="00C7039C">
      <w:pPr>
        <w:widowControl w:val="0"/>
        <w:rPr>
          <w:rFonts w:cs="Times New Roman"/>
        </w:rPr>
      </w:pPr>
      <w:r w:rsidRPr="00386E61">
        <w:rPr>
          <w:rFonts w:cs="Times New Roman"/>
        </w:rPr>
        <w:t>­</w:t>
      </w:r>
      <w:r w:rsidRPr="00386E61">
        <w:rPr>
          <w:rFonts w:cs="Times New Roman"/>
        </w:rPr>
        <w:tab/>
        <w:t xml:space="preserve">una procedura di esame e rilascio generalmente più rapida di quella europea, </w:t>
      </w:r>
    </w:p>
    <w:p w:rsidR="00C7039C" w:rsidRPr="00386E61" w:rsidRDefault="00C7039C" w:rsidP="00C7039C">
      <w:pPr>
        <w:widowControl w:val="0"/>
        <w:rPr>
          <w:rFonts w:cs="Times New Roman"/>
        </w:rPr>
      </w:pPr>
      <w:r w:rsidRPr="00386E61">
        <w:rPr>
          <w:rFonts w:cs="Times New Roman"/>
        </w:rPr>
        <w:t>­</w:t>
      </w:r>
      <w:r w:rsidRPr="00386E61">
        <w:rPr>
          <w:rFonts w:cs="Times New Roman"/>
        </w:rPr>
        <w:tab/>
        <w:t xml:space="preserve">la possibilità per i richiedenti di ottenere direttamente un modello di utilità; </w:t>
      </w:r>
    </w:p>
    <w:p w:rsidR="00C7039C" w:rsidRPr="00386E61" w:rsidRDefault="00C7039C" w:rsidP="00C7039C">
      <w:pPr>
        <w:widowControl w:val="0"/>
        <w:rPr>
          <w:rFonts w:cs="Times New Roman"/>
        </w:rPr>
      </w:pPr>
      <w:r w:rsidRPr="00386E61">
        <w:rPr>
          <w:rFonts w:cs="Times New Roman"/>
        </w:rPr>
        <w:t>­</w:t>
      </w:r>
      <w:r w:rsidRPr="00386E61">
        <w:rPr>
          <w:rFonts w:cs="Times New Roman"/>
        </w:rPr>
        <w:tab/>
        <w:t xml:space="preserve">la protezione immediata dal momento del deposito della fase italiana, in quanto la domanda internazionale diverrebbe immediatamente disponibile al pubblico in lingua italiana, determinando tutti gli effetti previsti dal codice della proprietà industriale; </w:t>
      </w:r>
    </w:p>
    <w:p w:rsidR="00C7039C" w:rsidRPr="00386E61" w:rsidRDefault="00C7039C" w:rsidP="00C7039C">
      <w:pPr>
        <w:widowControl w:val="0"/>
        <w:rPr>
          <w:rFonts w:cs="Times New Roman"/>
        </w:rPr>
      </w:pPr>
      <w:r w:rsidRPr="00386E61">
        <w:rPr>
          <w:rFonts w:cs="Times New Roman"/>
        </w:rPr>
        <w:t>­</w:t>
      </w:r>
      <w:r w:rsidRPr="00386E61">
        <w:rPr>
          <w:rFonts w:cs="Times New Roman"/>
        </w:rPr>
        <w:tab/>
        <w:t>maggiori introiti per lo Stato italiano che incasserebbe interamente sia i diritti di deposito della domanda internazionale che entra nella fase nazionale, sia le tasse di mantenimento in vita del brevetto concesso.</w:t>
      </w:r>
    </w:p>
    <w:p w:rsidR="00C7039C" w:rsidRPr="00386E61" w:rsidRDefault="00C7039C" w:rsidP="00C7039C">
      <w:pPr>
        <w:widowControl w:val="0"/>
        <w:rPr>
          <w:rFonts w:cs="Times New Roman"/>
          <w:b/>
          <w:i/>
        </w:rPr>
      </w:pPr>
      <w:r w:rsidRPr="00386E61">
        <w:rPr>
          <w:rFonts w:cs="Times New Roman"/>
          <w:b/>
          <w:i/>
        </w:rPr>
        <w:t>Relazione tecnica commi 1</w:t>
      </w:r>
      <w:r w:rsidR="00C61B5B">
        <w:rPr>
          <w:rFonts w:cs="Times New Roman"/>
          <w:b/>
          <w:i/>
        </w:rPr>
        <w:t>6</w:t>
      </w:r>
      <w:r w:rsidRPr="00386E61">
        <w:rPr>
          <w:rFonts w:cs="Times New Roman"/>
          <w:b/>
          <w:i/>
        </w:rPr>
        <w:t xml:space="preserve"> e </w:t>
      </w:r>
      <w:r w:rsidR="003D27C6">
        <w:rPr>
          <w:rFonts w:cs="Times New Roman"/>
          <w:b/>
          <w:i/>
        </w:rPr>
        <w:t>1</w:t>
      </w:r>
      <w:r w:rsidR="00C61B5B">
        <w:rPr>
          <w:rFonts w:cs="Times New Roman"/>
          <w:b/>
          <w:i/>
        </w:rPr>
        <w:t>7</w:t>
      </w:r>
      <w:r w:rsidRPr="00386E61">
        <w:rPr>
          <w:rFonts w:cs="Times New Roman"/>
          <w:b/>
          <w:i/>
        </w:rPr>
        <w:t xml:space="preserve"> (apertura della fase nazionale delle domande internazionali di brevetto secondo il patent cooperation treaty)</w:t>
      </w:r>
    </w:p>
    <w:p w:rsidR="00C7039C" w:rsidRPr="003D21F3" w:rsidRDefault="00C7039C" w:rsidP="00C7039C">
      <w:pPr>
        <w:widowControl w:val="0"/>
        <w:rPr>
          <w:rFonts w:cs="Times New Roman"/>
        </w:rPr>
      </w:pPr>
      <w:r w:rsidRPr="003D21F3">
        <w:rPr>
          <w:rFonts w:cs="Times New Roman"/>
        </w:rPr>
        <w:t xml:space="preserve">Le disposizioni di cui ai commi </w:t>
      </w:r>
      <w:r w:rsidR="003D21F3">
        <w:rPr>
          <w:rFonts w:cs="Times New Roman"/>
        </w:rPr>
        <w:t>1</w:t>
      </w:r>
      <w:r w:rsidR="00C61B5B">
        <w:rPr>
          <w:rFonts w:cs="Times New Roman"/>
        </w:rPr>
        <w:t>6</w:t>
      </w:r>
      <w:r w:rsidRPr="003D21F3">
        <w:rPr>
          <w:rFonts w:cs="Times New Roman"/>
        </w:rPr>
        <w:t xml:space="preserve"> e </w:t>
      </w:r>
      <w:r w:rsidR="003D21F3">
        <w:rPr>
          <w:rFonts w:cs="Times New Roman"/>
        </w:rPr>
        <w:t>1</w:t>
      </w:r>
      <w:r w:rsidR="00C61B5B">
        <w:rPr>
          <w:rFonts w:cs="Times New Roman"/>
        </w:rPr>
        <w:t>7</w:t>
      </w:r>
      <w:r w:rsidRPr="003D21F3">
        <w:rPr>
          <w:rFonts w:cs="Times New Roman"/>
        </w:rPr>
        <w:t xml:space="preserve"> hanno carattere ordinamentale e non comportano nuovi o maggiori oneri per lo Stato.</w:t>
      </w:r>
    </w:p>
    <w:p w:rsidR="00634D76" w:rsidRPr="002279E2" w:rsidRDefault="00634D76" w:rsidP="00612935">
      <w:pPr>
        <w:widowControl w:val="0"/>
        <w:rPr>
          <w:rFonts w:cs="Times New Roman"/>
        </w:rPr>
      </w:pPr>
    </w:p>
    <w:p w:rsidR="00564806" w:rsidRPr="002279E2" w:rsidRDefault="00564806" w:rsidP="00190CEB">
      <w:pPr>
        <w:pStyle w:val="Titolo1"/>
      </w:pPr>
      <w:bookmarkStart w:id="67" w:name="_Toc6937363"/>
      <w:r w:rsidRPr="002279E2">
        <w:t>Capo IV</w:t>
      </w:r>
      <w:r w:rsidRPr="002279E2">
        <w:br/>
      </w:r>
      <w:r w:rsidR="00190CEB" w:rsidRPr="002279E2">
        <w:t>Ulteriori misure per la crescita</w:t>
      </w:r>
      <w:bookmarkEnd w:id="67"/>
    </w:p>
    <w:p w:rsidR="00C17681" w:rsidRPr="002279E2" w:rsidRDefault="00C17681" w:rsidP="00C17681"/>
    <w:p w:rsidR="00832ECF" w:rsidRPr="002279E2" w:rsidRDefault="00832ECF" w:rsidP="00832ECF">
      <w:pPr>
        <w:pStyle w:val="Titolo2"/>
      </w:pPr>
      <w:bookmarkStart w:id="68" w:name="_Toc6937364"/>
      <w:r w:rsidRPr="002279E2">
        <w:t>Articolo 3</w:t>
      </w:r>
      <w:r w:rsidR="00E97E40">
        <w:t>3</w:t>
      </w:r>
      <w:r w:rsidRPr="002279E2">
        <w:br/>
        <w:t>(Assunzione di personale nelle Regioni a statuto ordinario e nei Comuni in base alla sostenibilità finanziaria)</w:t>
      </w:r>
      <w:bookmarkEnd w:id="68"/>
    </w:p>
    <w:p w:rsidR="00832ECF" w:rsidRPr="002279E2" w:rsidRDefault="00832ECF" w:rsidP="00832ECF">
      <w:pPr>
        <w:autoSpaceDE w:val="0"/>
        <w:autoSpaceDN w:val="0"/>
        <w:rPr>
          <w:color w:val="auto"/>
        </w:rPr>
      </w:pPr>
      <w:r w:rsidRPr="002279E2">
        <w:t xml:space="preserve">1. A decorrere dalla data individuata dal decreto di cui al presente comma, anche al fine di consentire l’accelerazione degli investimenti pubblici, con particolare riferimento in materia di mitigazione rischio idrogeologico, ambientale, manutenzione di scuole e strade, opere infrastrutturali, edilizia sanitaria e gli altri programmi previsti dalla legge della legge 30 dicembre 2018, n. 145, le regioni a statuto ordinario possono procedere ad assunzioni di personale a tempo indeterminato in coerenza con i piani triennali dei fabbisogni di personale e fermo restando il rispetto pluriennale dell’equilibrio di bilancio asseverato dall’organo di revisione, sino ad una spesa complessiva per tutto il personale dipendente, al lordo degli oneri riflessi a carico dell’amministrazione, non superiore al valore soglia definito come percentuale, anche differenziata per fascia demografica, delle entrate relative ai primi tre titoli delle entrate del rendiconto dell’anno precedente a quello in cui viene prevista l’assunzione, considerate al netto di quelle la cui destinazione è vincolata, ivi incluse, per le finalità di cui al presente comma, quelle relative al servizio sanitario nazionale ed al netto del fondo crediti di dubbia esigibilità stanziato in bilancio di previsione. Con decreto del Ministro della pubblica amministrazione, di concerto con il Ministro dell’economia e delle finanze, previa intesa in Conferenza permanente per i rapporti tra lo Stato, le Regioni e le province autonome di Trento e Bolzano, entro 60 giorni dalla data di </w:t>
      </w:r>
      <w:r w:rsidRPr="00052076">
        <w:t>entrat</w:t>
      </w:r>
      <w:r w:rsidR="00AF3DEE" w:rsidRPr="00052076">
        <w:t>a in vigore del presente decreto</w:t>
      </w:r>
      <w:r w:rsidR="00945294">
        <w:t xml:space="preserve"> legge</w:t>
      </w:r>
      <w:r w:rsidRPr="002279E2">
        <w:t>, sono individuate le fasce demografiche, i relativi valori soglia prossimi al valore medio per fascia demografica e le relative percentuali massime annuali di incremento del personale in servizio per le regioni che si collocano al di sotto del predetto valore soglia. I predetti parametri possono essere aggiornati con le modalità di cui al secondo periodo ogni cinque anni. Le regioni in cui il rapporto fra la spesa di personale, al lordo degli oneri riflessi a carico dell’amministrazione, e le predette entrate correnti dei primi tre titoli del rendiconto risulta superiore al valore soglia di cui al primo periodo, adottano un percorso di graduale riduzione annuale del suddetto rapporto fino al conseguimento nell'anno 2025 del predetto valore soglia anche applicando un turn over inferiore al 100 per cento. A decorrere dal 2025 le regioni che registrano un rapporto superiore al valore soglia applicano un turn over pari al 30 per cento fino al conseguimento del predetto valore soglia. Il limite al trattamento accessorio del personale di cui all’articolo 23, comma 2, del decreto legislativo 27 maggio 2017, n. 75 è adeguato, in aumento o in diminuzione, per garantire l’invarianza del valore medio pro-capite, riferito all’anno 2018, del fondo per la contrattazione integrativa nonché delle risorse per remunerare gli incarichi di posizione organizzativa, prendendo a riferimento come base di calcolo il personale in servizio al 31 dicembre 2018.</w:t>
      </w:r>
    </w:p>
    <w:p w:rsidR="00832ECF" w:rsidRPr="002279E2" w:rsidRDefault="00832ECF" w:rsidP="00832ECF">
      <w:pPr>
        <w:autoSpaceDE w:val="0"/>
        <w:autoSpaceDN w:val="0"/>
      </w:pPr>
      <w:r w:rsidRPr="002279E2">
        <w:rPr>
          <w:szCs w:val="14"/>
        </w:rPr>
        <w:t xml:space="preserve">2. </w:t>
      </w:r>
      <w:r w:rsidRPr="002279E2">
        <w:t xml:space="preserve">A decorrere dalla data individuata dal decreto di cui al presente comma, anche per le finalità di cui al comma 1, i comuni possono procedere ad assunzioni di personale a tempo indeterminato in coerenza con i piani triennali dei fabbisogni di personale e fermo restando il rispetto pluriennale dell’equilibrio di bilancio asseverato dall’organo di revisione, sino ad una spesa complessiva per tutto il personale dipendente, al lordo degli oneri riflessi a carico dell’amministrazione, non superiore al valore soglia definito come percentuale, differenziata per fascia demografica, delle entrate relative ai primi tre titoli delle entrate del rendiconto dell’anno precedente a quello in cui viene prevista l’assunzione, considerate al netto del fondo crediti dubbia esigibilità stanziato in bilancio di previsione. Con decreto del Ministro della pubblica amministrazione, di concerto con il Ministro dell’economia e delle finanze e il Ministro dell’interno, previa intesa in sede di Conferenza Stato-città ed autonomie locali, entro 60 giorni dalla data di </w:t>
      </w:r>
      <w:r w:rsidRPr="00052076">
        <w:t>entrat</w:t>
      </w:r>
      <w:r w:rsidR="00411D9D" w:rsidRPr="00052076">
        <w:t>a in vigore del presente decreto</w:t>
      </w:r>
      <w:r w:rsidR="004051CE">
        <w:t xml:space="preserve"> legge</w:t>
      </w:r>
      <w:r w:rsidRPr="002279E2">
        <w:t xml:space="preserve"> sono individuate le fasce demografiche, i relativi valori soglia prossimi al valore medio per fascia demografica e le relative percentuali massime annuali di incremento del personale in servizio per i comuni che si collocano al di sotto del predetto valore soglia. I predetti parametri possono essere aggiornati con le modalità di cui al secondo periodo ogni cinque anni. I comuni in cui il rapporto fra la spesa di personale, al lordo degli oneri riflessi a carico dell’amministrazione, e le predette entrate correnti dei primi tre titoli del rendiconto risulta superiore al valore soglia di cui al primo periodo adottano un percorso di graduale riduzione annuale del suddetto rapporto fino al conseguimento nell'anno 2025 del predetto valore soglia anche applicando un turn over inferiore al 100 per cento. A decorrere dal 2025 i comuni che registrano un rapporto superiore al valore soglia applicano un turn over pari al 30 per cento fino al conseguimento del predetto valore soglia. Il limite al trattamento accessorio del personale di cui all’articolo 23, comma 2, del decreto legislativo 27 maggio 2017, n. 75 è adeguato, in aumento o in diminuzione, per garantire l’invarianza del valore medio pro-capite, riferito all’anno 2018, del fondo per la contrattazione integrativa nonché delle risorse per remunerare gli incarichi di posizione organizzativa, prendendo a riferimento come base di calcolo il personale in servizio al 31 dicembre 2018.</w:t>
      </w:r>
    </w:p>
    <w:p w:rsidR="00832ECF" w:rsidRPr="002279E2" w:rsidRDefault="00832ECF" w:rsidP="00832ECF">
      <w:pPr>
        <w:autoSpaceDE w:val="0"/>
        <w:autoSpaceDN w:val="0"/>
      </w:pPr>
    </w:p>
    <w:p w:rsidR="00832ECF" w:rsidRPr="002279E2" w:rsidRDefault="00832ECF" w:rsidP="00832ECF">
      <w:pPr>
        <w:jc w:val="center"/>
        <w:rPr>
          <w:rFonts w:cs="Times New Roman"/>
        </w:rPr>
      </w:pPr>
      <w:r w:rsidRPr="002279E2">
        <w:rPr>
          <w:rFonts w:cs="Times New Roman"/>
          <w:b/>
          <w:bCs/>
          <w:color w:val="000000"/>
        </w:rPr>
        <w:t>Relazione illustrativa e tecnica</w:t>
      </w:r>
    </w:p>
    <w:p w:rsidR="00832ECF" w:rsidRPr="002279E2" w:rsidRDefault="00832ECF" w:rsidP="00832ECF">
      <w:pPr>
        <w:rPr>
          <w:rFonts w:cs="Times New Roman"/>
        </w:rPr>
      </w:pPr>
      <w:r w:rsidRPr="002279E2">
        <w:rPr>
          <w:rFonts w:cs="Times New Roman"/>
          <w:color w:val="000000"/>
        </w:rPr>
        <w:t>La disposizione fissa, per le regioni a statuto ordinario – comma 1 - e per comuni – comma 2 - la disciplina per le assunzioni di personale a tempo indeterminato, nel limite di una spesa complessiva, al lordo degli oneri riflessi a carico dell’amministrazione, non superiore al valore soglia, definito come percentuale, anche differenziata per fascia demografica, delle entrate relative ai primi tre titoli risultanti dal rendiconto dell’anno precedente a quello in cui viene prevista l’assunzione,  considerate al netto di quelle la cui destinazione è vincolata (ivi incluse, per le regioni, quelle relative al servizio sanitario nazionale) ed al netto del fondo crediti di dubbia esigibilità stanziato in bilancio di previsione. </w:t>
      </w:r>
    </w:p>
    <w:p w:rsidR="00832ECF" w:rsidRPr="002279E2" w:rsidRDefault="00832ECF" w:rsidP="00832ECF">
      <w:pPr>
        <w:rPr>
          <w:rFonts w:cs="Times New Roman"/>
        </w:rPr>
      </w:pPr>
      <w:r w:rsidRPr="002279E2">
        <w:rPr>
          <w:rFonts w:cs="Times New Roman"/>
          <w:color w:val="000000"/>
        </w:rPr>
        <w:t>La norma, superando la rigidità delle attuali regole, introduce criteri che consentono maggiore flessibilità e adeguatezza  assunzionale alle amministrazioni, assicurando la sostenibilità finanziaria dei connessi costi permanenti e strutturali rispetto agli equilibri di finanza pubblica, in quanto le previste assunzioni debbono avvenire in coerenza con i piani triennali dei fabbisogni di personale e fermo restando il rispetto pluriennale dell’equilibrio di bilancio asseverato dall’organo di revisione.</w:t>
      </w:r>
    </w:p>
    <w:p w:rsidR="00832ECF" w:rsidRPr="002279E2" w:rsidRDefault="00832ECF" w:rsidP="00832ECF">
      <w:pPr>
        <w:rPr>
          <w:rFonts w:cs="Times New Roman"/>
        </w:rPr>
      </w:pPr>
      <w:r w:rsidRPr="002279E2">
        <w:rPr>
          <w:rFonts w:cs="Times New Roman"/>
          <w:color w:val="000000"/>
        </w:rPr>
        <w:t>I valori soglia prossimi al valore medio per fascia demografica e le relative percentuali massime annuali di incremento del personale in servizio per gli enti che si collocano al di sotto del predetto valore soglia sono definiti con decreto del Ministro della pubblica amministrazione, di concerto con il Ministro dell’economia e delle finanze, previa intesa in Conferenza permanente per i rapporti tra lo Stato, le Regioni e le province autonome di Trento e Bolzano – per le regioni – e Conferenza Stato-città ed autonomie locali – per i comuni - entro 60 giorni dalla data d</w:t>
      </w:r>
      <w:r w:rsidRPr="00FB50BC">
        <w:rPr>
          <w:rFonts w:cs="Times New Roman"/>
          <w:color w:val="000000"/>
        </w:rPr>
        <w:t>i entrat</w:t>
      </w:r>
      <w:r w:rsidR="00411D9D" w:rsidRPr="00FB50BC">
        <w:rPr>
          <w:rFonts w:cs="Times New Roman"/>
          <w:color w:val="000000"/>
        </w:rPr>
        <w:t>a in vigore del presente decreto</w:t>
      </w:r>
      <w:r w:rsidR="00277111">
        <w:rPr>
          <w:rFonts w:cs="Times New Roman"/>
          <w:color w:val="000000"/>
        </w:rPr>
        <w:t xml:space="preserve"> legge</w:t>
      </w:r>
      <w:r w:rsidRPr="002279E2">
        <w:rPr>
          <w:rFonts w:cs="Times New Roman"/>
          <w:color w:val="000000"/>
        </w:rPr>
        <w:t>.</w:t>
      </w:r>
    </w:p>
    <w:p w:rsidR="00832ECF" w:rsidRPr="002279E2" w:rsidRDefault="00832ECF" w:rsidP="00832ECF">
      <w:pPr>
        <w:rPr>
          <w:rFonts w:cs="Times New Roman"/>
        </w:rPr>
      </w:pPr>
      <w:r w:rsidRPr="002279E2">
        <w:rPr>
          <w:rFonts w:cs="Times New Roman"/>
          <w:color w:val="000000"/>
        </w:rPr>
        <w:t>Gli enti in cui il rapporto fra la spesa di personale, al lordo degli oneri riflessi a carico dell’amministrazione, e le predette entrate correnti dei primi tre titoli del rendiconto risulta superiore al valore soglia definito dal citato decreto adottano un percorso di graduale riduzione annuale del suddetto rapporto fino al conseguimento, nell'anno 2025, del predetto valore soglia. </w:t>
      </w:r>
    </w:p>
    <w:p w:rsidR="00832ECF" w:rsidRPr="002279E2" w:rsidRDefault="00832ECF" w:rsidP="00832ECF">
      <w:pPr>
        <w:rPr>
          <w:rFonts w:cs="Times New Roman"/>
        </w:rPr>
      </w:pPr>
      <w:r w:rsidRPr="002279E2">
        <w:rPr>
          <w:rFonts w:cs="Times New Roman"/>
          <w:color w:val="000000"/>
        </w:rPr>
        <w:t>A decorrere dal 2025, alle regioni ed ai comuni che ancora registrano un rapporto superiore al “valore soglia” si prevede l’applicazione di un turn over pari al 30 per cento fino al conseguimento del predetto valore.</w:t>
      </w:r>
    </w:p>
    <w:p w:rsidR="00832ECF" w:rsidRPr="002279E2" w:rsidRDefault="00832ECF" w:rsidP="00832ECF">
      <w:pPr>
        <w:rPr>
          <w:rFonts w:cs="Times New Roman"/>
        </w:rPr>
      </w:pPr>
      <w:r w:rsidRPr="002279E2">
        <w:rPr>
          <w:rFonts w:cs="Times New Roman"/>
          <w:color w:val="000000"/>
        </w:rPr>
        <w:t>Il limite al trattamento accessorio del personale di cui all’articolo 23, comma 2, del decreto legislativo 27 maggio 2017, n. 75 è adeguato, in aumento o in diminuzione, per garantire l’invarianza del valore medio pro-capite, riferito all’anno 2018, del fondo per la contrattazione integrativa nonché delle risorse per remunerare gli incarichi di posizione organizzativa, prendendo a riferimento come base di calcolo il personale in servizio al 31 dicembre 2018.</w:t>
      </w:r>
    </w:p>
    <w:p w:rsidR="00832ECF" w:rsidRPr="002279E2" w:rsidRDefault="00832ECF" w:rsidP="00832ECF">
      <w:pPr>
        <w:rPr>
          <w:rFonts w:cs="Times New Roman"/>
        </w:rPr>
      </w:pPr>
      <w:r w:rsidRPr="002279E2">
        <w:rPr>
          <w:rFonts w:cs="Times New Roman"/>
          <w:color w:val="000000"/>
        </w:rPr>
        <w:t>Il “valore soglia” per gli enti, che è definito, in prima battuta, termini di prossimità al valore medio per fascia demografica, rappresenta un valore sostenibile finanziariamente e le assunzioni sono comunque operate nel rispetto pluriennale dell’equilibrio di bilancio asseverato dall’organo di revisione.</w:t>
      </w:r>
    </w:p>
    <w:p w:rsidR="00832ECF" w:rsidRPr="002279E2" w:rsidRDefault="00832ECF" w:rsidP="00832ECF">
      <w:pPr>
        <w:rPr>
          <w:rFonts w:cs="Times New Roman"/>
        </w:rPr>
      </w:pPr>
      <w:r w:rsidRPr="002279E2">
        <w:rPr>
          <w:rFonts w:cs="Times New Roman"/>
          <w:color w:val="000000"/>
        </w:rPr>
        <w:t>Per quanto sopra la norma non comporta oneri a carico della finanza pubblica</w:t>
      </w:r>
      <w:r w:rsidR="00136D31" w:rsidRPr="002279E2">
        <w:rPr>
          <w:rFonts w:cs="Times New Roman"/>
          <w:color w:val="000000"/>
        </w:rPr>
        <w:t>.</w:t>
      </w:r>
    </w:p>
    <w:p w:rsidR="00832ECF" w:rsidRPr="002279E2" w:rsidRDefault="00832ECF" w:rsidP="00832ECF">
      <w:pPr>
        <w:rPr>
          <w:lang w:eastAsia="it-IT"/>
        </w:rPr>
      </w:pPr>
      <w:r w:rsidRPr="002279E2">
        <w:rPr>
          <w:lang w:eastAsia="it-IT"/>
        </w:rPr>
        <w:t>La disposizione, ai commi da 3 a 6, in coerenza con la legislazione vigente volta al contenimento della dinamica dei costi aggiorna, a livello regionale, a decorrere dal 2019, il parametro di riferimento della spesa per il personale degli enti del Servizio sanitario nazionale prendendo a riferimento il valore già definito nel quadro dell’equilibrio economico finanziario complessivo. Tale parametro è annualmente incrementato di un ammontare pari al 5 per cento dell’eventuale incremento del Fondo sanitario regionale, registrato rispetto all’esercizio precedente. Dal 2021, il predetto incremento è subordinato all’adozione di una metodologia per la determinazione del fabbisogno di personale degli enti del Servizio sanitario nazionale, in coerenza col decreto ministeriale 2 aprile 2015, n. 70, e con l’articolo 1, comma 516, lettera c), della legge 30 dicembre 2018, n. 145.</w:t>
      </w:r>
    </w:p>
    <w:p w:rsidR="00832ECF" w:rsidRPr="002279E2" w:rsidRDefault="00832ECF" w:rsidP="00832ECF">
      <w:pPr>
        <w:rPr>
          <w:lang w:eastAsia="it-IT"/>
        </w:rPr>
      </w:pPr>
      <w:r w:rsidRPr="002279E2">
        <w:rPr>
          <w:lang w:eastAsia="it-IT"/>
        </w:rPr>
        <w:t>La disposizione, inoltre, prevede, previo accordo tra le regioni e le Province autonome di Trento e Bolzano, il Ministero della salute ed il Ministero dell’economia e delle finanze, che il predetto parametro possa essere rideterminato, ad invarianza di onere complessivo, di  una misura non superiore alla minore spesa strutturale già sostenuta dagli enti del SSN per i servizi sanitari esternalizzati, con ciò fornendo al sistema sanitario regionale una maggiore elasticità nelle proprie scelte di competenza, fermo restando l’obiettivo del contenimento della dinamica complessiva dei costi.</w:t>
      </w:r>
    </w:p>
    <w:p w:rsidR="00832ECF" w:rsidRPr="002279E2" w:rsidRDefault="00832ECF" w:rsidP="00832ECF">
      <w:pPr>
        <w:rPr>
          <w:lang w:eastAsia="it-IT"/>
        </w:rPr>
      </w:pPr>
      <w:r w:rsidRPr="002279E2">
        <w:rPr>
          <w:lang w:eastAsia="it-IT"/>
        </w:rPr>
        <w:t>La disposizione non comporta oneri a carico della finanza pubblica in quanto coerente con il livello del finanziamento programmato per il SSN, stabilito dall’articolo 1, comma 514, della legge 145/2018 e con quanto disposto dal comma 516, lettera c) del medesimo articolo 1, che ha previsto che l’aggiornamento del parametro di riferimento relativo al costo del personale debba essere una delle misure di programmazione da definirsi in sede di sottoscrizione del Patto della salute 2019-2021. Poiché la disposizione in argomento è stata formalmente condivisa dalle regioni, la stessa si configura quindi come attuativa del citato comma 516, lettera c), nelle more della stipula del complessivo Patto della salute.</w:t>
      </w:r>
    </w:p>
    <w:p w:rsidR="00832ECF" w:rsidRPr="002279E2" w:rsidRDefault="00832ECF" w:rsidP="00832ECF">
      <w:pPr>
        <w:rPr>
          <w:lang w:eastAsia="it-IT"/>
        </w:rPr>
      </w:pPr>
    </w:p>
    <w:p w:rsidR="00832ECF" w:rsidRPr="002279E2" w:rsidRDefault="00832ECF" w:rsidP="00832ECF">
      <w:pPr>
        <w:pStyle w:val="Titolo2"/>
      </w:pPr>
      <w:bookmarkStart w:id="69" w:name="_Toc6937365"/>
      <w:r w:rsidRPr="002279E2">
        <w:t>Articolo</w:t>
      </w:r>
      <w:r w:rsidR="00B01DDA" w:rsidRPr="002279E2">
        <w:t xml:space="preserve"> </w:t>
      </w:r>
      <w:r w:rsidRPr="002279E2">
        <w:t>3</w:t>
      </w:r>
      <w:r w:rsidR="00E97E40">
        <w:t>4</w:t>
      </w:r>
      <w:r w:rsidRPr="002279E2">
        <w:br/>
        <w:t>(Piano grandi investimenti nelle Zone economiche Speciali)</w:t>
      </w:r>
      <w:bookmarkEnd w:id="69"/>
    </w:p>
    <w:p w:rsidR="003E3D11" w:rsidRPr="002A2119" w:rsidRDefault="003E3D11" w:rsidP="003E3D11">
      <w:pPr>
        <w:rPr>
          <w:rFonts w:eastAsia="Times New Roman" w:cs="Times New Roman"/>
          <w:szCs w:val="24"/>
          <w:lang w:eastAsia="it-IT"/>
        </w:rPr>
      </w:pPr>
      <w:r w:rsidRPr="002279E2">
        <w:rPr>
          <w:rFonts w:eastAsia="Times New Roman" w:cs="Times New Roman"/>
          <w:szCs w:val="24"/>
          <w:lang w:eastAsia="it-IT"/>
        </w:rPr>
        <w:t>1. Ai fini dello sviluppo di grandi investimenti delle imprese insediate nelle Zone economiche speciali di cui al</w:t>
      </w:r>
      <w:r w:rsidRPr="002A2119">
        <w:rPr>
          <w:rFonts w:eastAsia="Times New Roman" w:cs="Times New Roman"/>
          <w:szCs w:val="24"/>
          <w:lang w:eastAsia="it-IT"/>
        </w:rPr>
        <w:t>l’articolo 4 del decreto-legge 20 giugno 2017, n. 91, convertito, con</w:t>
      </w:r>
      <w:r w:rsidRPr="002A2119">
        <w:rPr>
          <w:rFonts w:eastAsia="Times New Roman" w:cs="Times New Roman"/>
          <w:color w:val="auto"/>
          <w:szCs w:val="24"/>
          <w:lang w:eastAsia="it-IT"/>
        </w:rPr>
        <w:t xml:space="preserve"> modificazioni, dalla legge 3 agosto 2017, n. 123, nonché per l’attrazione di ulteriori nuove iniziative imprenditoriali, </w:t>
      </w:r>
      <w:r w:rsidR="002A2119" w:rsidRPr="002A2119">
        <w:rPr>
          <w:rFonts w:eastAsia="Times New Roman" w:cs="Times New Roman"/>
          <w:color w:val="auto"/>
          <w:szCs w:val="24"/>
          <w:lang w:eastAsia="it-IT"/>
        </w:rPr>
        <w:t>il Presidente del Consiglio dei Ministri o, se nominata,</w:t>
      </w:r>
      <w:r w:rsidRPr="002A2119">
        <w:rPr>
          <w:rFonts w:eastAsia="Times New Roman" w:cs="Times New Roman"/>
          <w:color w:val="auto"/>
          <w:szCs w:val="24"/>
          <w:lang w:eastAsia="it-IT"/>
        </w:rPr>
        <w:t xml:space="preserve"> </w:t>
      </w:r>
      <w:r w:rsidR="0054202D">
        <w:rPr>
          <w:rFonts w:eastAsia="Times New Roman" w:cs="Times New Roman"/>
          <w:color w:val="auto"/>
          <w:szCs w:val="24"/>
          <w:lang w:eastAsia="it-IT"/>
        </w:rPr>
        <w:t>l’</w:t>
      </w:r>
      <w:r w:rsidRPr="002A2119">
        <w:rPr>
          <w:rFonts w:eastAsia="Times New Roman" w:cs="Times New Roman"/>
          <w:color w:val="auto"/>
          <w:szCs w:val="24"/>
          <w:lang w:eastAsia="it-IT"/>
        </w:rPr>
        <w:t xml:space="preserve">Autorità politica delegata per la coesione, </w:t>
      </w:r>
      <w:r w:rsidRPr="002A2119">
        <w:rPr>
          <w:rFonts w:cs="Times New Roman"/>
          <w:bCs/>
          <w:color w:val="auto"/>
          <w:szCs w:val="24"/>
        </w:rPr>
        <w:t xml:space="preserve">definisce le linee di intervento </w:t>
      </w:r>
      <w:r w:rsidRPr="002A2119">
        <w:rPr>
          <w:rFonts w:eastAsia="Times New Roman" w:cs="Times New Roman"/>
          <w:color w:val="auto"/>
          <w:szCs w:val="24"/>
          <w:lang w:eastAsia="it-IT"/>
        </w:rPr>
        <w:t xml:space="preserve">denominate “Piano grandi investimenti - ZES” a cui sono destinati 50 milioni di euro per il 2019, </w:t>
      </w:r>
      <w:r w:rsidRPr="002A2119">
        <w:rPr>
          <w:rFonts w:eastAsia="Times New Roman" w:cs="Times New Roman"/>
          <w:szCs w:val="24"/>
          <w:lang w:eastAsia="it-IT"/>
        </w:rPr>
        <w:t xml:space="preserve">150 milioni di euro per il 2020 e 100 milioni di euro per il 2021 a valere sulle risorse del Fondo Sviluppo e Coesione (FSC), </w:t>
      </w:r>
      <w:r w:rsidRPr="002A2119">
        <w:rPr>
          <w:rFonts w:cs="Times New Roman"/>
          <w:bCs/>
          <w:szCs w:val="24"/>
        </w:rPr>
        <w:t>di cui all’articolo 1, comma 6, della legge 27 dicembre 2013, n. 147</w:t>
      </w:r>
      <w:r w:rsidRPr="002A2119">
        <w:rPr>
          <w:rFonts w:eastAsia="Times New Roman" w:cs="Times New Roman"/>
          <w:szCs w:val="24"/>
          <w:lang w:eastAsia="it-IT"/>
        </w:rPr>
        <w:t xml:space="preserve">. </w:t>
      </w:r>
    </w:p>
    <w:p w:rsidR="003E3D11" w:rsidRPr="002A2119" w:rsidRDefault="003E3D11" w:rsidP="003E3D11">
      <w:pPr>
        <w:rPr>
          <w:rFonts w:eastAsia="Times New Roman" w:cs="Times New Roman"/>
          <w:color w:val="auto"/>
          <w:szCs w:val="24"/>
          <w:lang w:eastAsia="it-IT"/>
        </w:rPr>
      </w:pPr>
      <w:r w:rsidRPr="002A2119">
        <w:rPr>
          <w:rFonts w:eastAsia="Times New Roman" w:cs="Times New Roman"/>
          <w:szCs w:val="24"/>
          <w:lang w:eastAsia="it-IT"/>
        </w:rPr>
        <w:t xml:space="preserve"> 2. Il Piano può essere utilizzato per investimenti, in forma di debito o di capitale di rischio, ovvero per sottoscrivere qu</w:t>
      </w:r>
      <w:r w:rsidRPr="002A2119">
        <w:rPr>
          <w:rFonts w:eastAsia="Times New Roman" w:cs="Times New Roman"/>
          <w:color w:val="auto"/>
          <w:szCs w:val="24"/>
          <w:lang w:eastAsia="it-IT"/>
        </w:rPr>
        <w:t>ote di fondi di investimento o fondi di fondi o di altri veicoli previsti dalla normativa europea che abbiano quale oggetto di investimento in forma di debito o di capitale di rischio.</w:t>
      </w:r>
    </w:p>
    <w:p w:rsidR="003E3D11" w:rsidRPr="002A2119" w:rsidRDefault="003E3D11" w:rsidP="003E3D11">
      <w:pPr>
        <w:rPr>
          <w:rFonts w:eastAsia="Times New Roman" w:cs="Times New Roman"/>
          <w:color w:val="auto"/>
          <w:szCs w:val="24"/>
          <w:lang w:eastAsia="it-IT"/>
        </w:rPr>
      </w:pPr>
      <w:r w:rsidRPr="002A2119">
        <w:rPr>
          <w:rFonts w:eastAsia="Times New Roman" w:cs="Times New Roman"/>
          <w:color w:val="auto"/>
          <w:szCs w:val="24"/>
          <w:lang w:eastAsia="it-IT"/>
        </w:rPr>
        <w:t xml:space="preserve">3. Possono essere stipulate convenzioni per la gestione del Piano o di una sua parte con soggetti individuati nel risetto della disciplina europea e nazionale in materia. </w:t>
      </w:r>
    </w:p>
    <w:p w:rsidR="003E3D11" w:rsidRPr="002279E2" w:rsidRDefault="003E3D11" w:rsidP="003E3D11">
      <w:pPr>
        <w:rPr>
          <w:rFonts w:eastAsia="Times New Roman" w:cs="Times New Roman"/>
          <w:szCs w:val="24"/>
          <w:lang w:eastAsia="it-IT"/>
        </w:rPr>
      </w:pPr>
      <w:r w:rsidRPr="002A2119">
        <w:rPr>
          <w:rFonts w:eastAsia="Times New Roman" w:cs="Times New Roman"/>
          <w:color w:val="auto"/>
          <w:szCs w:val="24"/>
          <w:lang w:eastAsia="it-IT"/>
        </w:rPr>
        <w:t xml:space="preserve">4. Entro trenta giorni dall’entrata in vigore del presente decreto, con decreto </w:t>
      </w:r>
      <w:r w:rsidR="002A2119" w:rsidRPr="002A2119">
        <w:rPr>
          <w:rFonts w:eastAsia="Times New Roman" w:cs="Times New Roman"/>
          <w:color w:val="auto"/>
          <w:szCs w:val="24"/>
          <w:lang w:eastAsia="it-IT"/>
        </w:rPr>
        <w:t>il Presidente del Consiglio dei Ministri o, se nominata,</w:t>
      </w:r>
      <w:r w:rsidRPr="002A2119">
        <w:rPr>
          <w:rFonts w:eastAsia="Times New Roman" w:cs="Times New Roman"/>
          <w:color w:val="auto"/>
          <w:szCs w:val="24"/>
          <w:lang w:eastAsia="it-IT"/>
        </w:rPr>
        <w:t xml:space="preserve"> </w:t>
      </w:r>
      <w:r w:rsidR="0054202D">
        <w:rPr>
          <w:rFonts w:eastAsia="Times New Roman" w:cs="Times New Roman"/>
          <w:color w:val="auto"/>
          <w:szCs w:val="24"/>
          <w:lang w:eastAsia="it-IT"/>
        </w:rPr>
        <w:t>dell’</w:t>
      </w:r>
      <w:r w:rsidRPr="002A2119">
        <w:rPr>
          <w:rFonts w:eastAsia="Times New Roman" w:cs="Times New Roman"/>
          <w:color w:val="auto"/>
          <w:szCs w:val="24"/>
          <w:lang w:eastAsia="it-IT"/>
        </w:rPr>
        <w:t xml:space="preserve">Autorità politica delegata per </w:t>
      </w:r>
      <w:r w:rsidRPr="002A2119">
        <w:rPr>
          <w:rFonts w:eastAsia="Times New Roman" w:cs="Times New Roman"/>
          <w:szCs w:val="24"/>
          <w:lang w:eastAsia="it-IT"/>
        </w:rPr>
        <w:t xml:space="preserve">la coesione, </w:t>
      </w:r>
      <w:r w:rsidR="00B3524D" w:rsidRPr="002A2119">
        <w:rPr>
          <w:bCs/>
          <w:color w:val="000000"/>
          <w:lang w:eastAsia="it-IT"/>
        </w:rPr>
        <w:t>di conce</w:t>
      </w:r>
      <w:r w:rsidR="00B3524D" w:rsidRPr="00656ABA">
        <w:rPr>
          <w:bCs/>
          <w:color w:val="000000"/>
          <w:lang w:eastAsia="it-IT"/>
        </w:rPr>
        <w:t xml:space="preserve">rto </w:t>
      </w:r>
      <w:r w:rsidR="009A0405" w:rsidRPr="007D0B07">
        <w:rPr>
          <w:bCs/>
          <w:i/>
          <w:color w:val="000000"/>
          <w:highlight w:val="yellow"/>
          <w:lang w:eastAsia="it-IT"/>
        </w:rPr>
        <w:t xml:space="preserve">(Il Ministro sud propone: </w:t>
      </w:r>
      <w:r w:rsidR="009A0405" w:rsidRPr="007D0B07">
        <w:rPr>
          <w:bCs/>
          <w:i/>
          <w:color w:val="000000"/>
          <w:highlight w:val="yellow"/>
          <w:u w:val="single"/>
          <w:lang w:eastAsia="it-IT"/>
        </w:rPr>
        <w:t>sentito</w:t>
      </w:r>
      <w:r w:rsidR="009A0405" w:rsidRPr="007D0B07">
        <w:rPr>
          <w:bCs/>
          <w:i/>
          <w:color w:val="000000"/>
          <w:highlight w:val="yellow"/>
          <w:lang w:eastAsia="it-IT"/>
        </w:rPr>
        <w:t xml:space="preserve"> il MEF)</w:t>
      </w:r>
      <w:r w:rsidR="009A0405">
        <w:rPr>
          <w:bCs/>
          <w:color w:val="000000"/>
          <w:lang w:eastAsia="it-IT"/>
        </w:rPr>
        <w:t xml:space="preserve"> </w:t>
      </w:r>
      <w:r w:rsidR="00B3524D" w:rsidRPr="00656ABA">
        <w:rPr>
          <w:bCs/>
          <w:color w:val="000000"/>
          <w:lang w:eastAsia="it-IT"/>
        </w:rPr>
        <w:t xml:space="preserve">con </w:t>
      </w:r>
      <w:r w:rsidR="00B3524D" w:rsidRPr="00656ABA">
        <w:rPr>
          <w:color w:val="000000"/>
          <w:lang w:eastAsia="it-IT"/>
        </w:rPr>
        <w:t xml:space="preserve">il Ministro dell’Economia e delle finanze </w:t>
      </w:r>
      <w:r w:rsidRPr="00656ABA">
        <w:rPr>
          <w:rFonts w:eastAsia="Times New Roman" w:cs="Times New Roman"/>
          <w:szCs w:val="24"/>
          <w:lang w:eastAsia="it-IT"/>
        </w:rPr>
        <w:t>e sentito il Ministro per gli Affari regionali, sono disciplinate le linee di attività del Piano di cui al comma 1, nonché l’ammontare degli investimenti, le modalità di individuazione del soggetto gestore</w:t>
      </w:r>
      <w:r w:rsidRPr="00656ABA">
        <w:rPr>
          <w:rFonts w:eastAsia="Times New Roman" w:cs="Times New Roman"/>
          <w:szCs w:val="24"/>
          <w:u w:val="single"/>
          <w:lang w:eastAsia="it-IT"/>
        </w:rPr>
        <w:t>,</w:t>
      </w:r>
      <w:r w:rsidRPr="00656ABA">
        <w:rPr>
          <w:rFonts w:eastAsia="Times New Roman" w:cs="Times New Roman"/>
          <w:szCs w:val="24"/>
          <w:lang w:eastAsia="it-IT"/>
        </w:rPr>
        <w:t xml:space="preserve"> gli obiettivi e le specifiche di investimento oggetto di intervento da parte dello stesso P</w:t>
      </w:r>
      <w:r w:rsidRPr="002279E2">
        <w:rPr>
          <w:rFonts w:eastAsia="Times New Roman" w:cs="Times New Roman"/>
          <w:szCs w:val="24"/>
          <w:lang w:eastAsia="it-IT"/>
        </w:rPr>
        <w:t>iano, stabilendo il minimo ammontare dell’investimento.</w:t>
      </w:r>
    </w:p>
    <w:p w:rsidR="00A651C7" w:rsidRPr="002279E2" w:rsidRDefault="00A651C7" w:rsidP="003E3D11">
      <w:pPr>
        <w:rPr>
          <w:rFonts w:eastAsia="Times New Roman" w:cs="Times New Roman"/>
          <w:szCs w:val="24"/>
          <w:lang w:eastAsia="it-IT"/>
        </w:rPr>
      </w:pPr>
    </w:p>
    <w:p w:rsidR="003E3D11" w:rsidRPr="002279E2" w:rsidRDefault="003E3D11" w:rsidP="00A651C7">
      <w:pPr>
        <w:jc w:val="center"/>
        <w:rPr>
          <w:rFonts w:eastAsia="Times New Roman" w:cs="Times New Roman"/>
          <w:b/>
          <w:szCs w:val="24"/>
          <w:lang w:eastAsia="it-IT"/>
        </w:rPr>
      </w:pPr>
      <w:r w:rsidRPr="002279E2">
        <w:rPr>
          <w:rFonts w:eastAsia="Times New Roman" w:cs="Times New Roman"/>
          <w:b/>
          <w:szCs w:val="24"/>
          <w:lang w:eastAsia="it-IT"/>
        </w:rPr>
        <w:t>Relazione illustrativa e tecnica</w:t>
      </w:r>
    </w:p>
    <w:p w:rsidR="00756924" w:rsidRPr="002279E2" w:rsidRDefault="00756924" w:rsidP="00756924">
      <w:pPr>
        <w:rPr>
          <w:rFonts w:cs="Times New Roman"/>
          <w:bCs/>
          <w:szCs w:val="24"/>
        </w:rPr>
      </w:pPr>
      <w:r w:rsidRPr="002279E2">
        <w:rPr>
          <w:rFonts w:cs="Times New Roman"/>
          <w:bCs/>
          <w:szCs w:val="24"/>
        </w:rPr>
        <w:t xml:space="preserve">La disposizione punta a rendere maggiormente attrattiva per le imprese la facoltà, già prevista dalla legislazione vigente, di insediamento con specifici programmi di investimento nelle Zone economiche speciali (ZES) introdotte dall’articolo 4 del DL n. 91 del 2017. </w:t>
      </w:r>
    </w:p>
    <w:p w:rsidR="00756924" w:rsidRPr="002279E2" w:rsidRDefault="00756924" w:rsidP="00756924">
      <w:pPr>
        <w:rPr>
          <w:rFonts w:cs="Times New Roman"/>
          <w:bCs/>
          <w:szCs w:val="24"/>
        </w:rPr>
      </w:pPr>
      <w:r w:rsidRPr="002279E2">
        <w:rPr>
          <w:rFonts w:cs="Times New Roman"/>
          <w:bCs/>
          <w:szCs w:val="24"/>
        </w:rPr>
        <w:t xml:space="preserve">Allo scopo, facendo seguito alle misure di enforcement delle ZES contenute nel recente decreto-legge sulle Semplificazioni, si propone l’attivazione di un apposito strumento finanziario che favorisca investimenti diretti, in forma di debito o di capitale di rischio, ovvero che consenta la sottoscrizione di quote di fondi di investimento o fondi di fondi o di altri veicoli previsti dalla normativa europea; ciò al fine di sfruttare maggiormente la capacità attrattiva di nuovi investimenti attraverso la rete portuale italiana ed attrarre e stimolare lo sviluppo di grandi investimenti nelle aree su cui insistono le ZES. </w:t>
      </w:r>
    </w:p>
    <w:p w:rsidR="00756924" w:rsidRPr="002279E2" w:rsidRDefault="00756924" w:rsidP="00756924">
      <w:pPr>
        <w:rPr>
          <w:rFonts w:cs="Times New Roman"/>
          <w:bCs/>
          <w:szCs w:val="24"/>
        </w:rPr>
      </w:pPr>
      <w:r w:rsidRPr="002279E2">
        <w:rPr>
          <w:rFonts w:cs="Times New Roman"/>
          <w:bCs/>
          <w:szCs w:val="24"/>
        </w:rPr>
        <w:t xml:space="preserve">Nel complesso della disposizione, si punta complessivamente a rendere più attrattive le misure di fiscalità di vantaggio e di semplificazione procedurale, in precedenza introdotte, in sede di conversione del DL n. 135 del 2018 che già consente un’effettiva riduzione dei procedimenti amministrativi e un vantaggio fiscale sotto forma di credito di imposta per un massimo di 50 milioni di euro ad investimento.  </w:t>
      </w:r>
    </w:p>
    <w:p w:rsidR="00756924" w:rsidRPr="002279E2" w:rsidRDefault="00756924" w:rsidP="00756924">
      <w:pPr>
        <w:rPr>
          <w:rFonts w:cs="Times New Roman"/>
          <w:bCs/>
          <w:szCs w:val="24"/>
        </w:rPr>
      </w:pPr>
      <w:r w:rsidRPr="002279E2">
        <w:rPr>
          <w:rFonts w:cs="Times New Roman"/>
          <w:bCs/>
          <w:szCs w:val="24"/>
        </w:rPr>
        <w:t xml:space="preserve">Gli investimenti in equity, oggetto della norma, prevedranno un disimpegno progressivo che prevede tempi che dipendono dalle specifiche tecniche proprie dei settori di intervento individuate dal Piano stesso.  </w:t>
      </w:r>
    </w:p>
    <w:p w:rsidR="0014496A" w:rsidRPr="002279E2" w:rsidRDefault="00756924" w:rsidP="00756924">
      <w:pPr>
        <w:rPr>
          <w:rFonts w:eastAsia="Times New Roman" w:cs="Times New Roman"/>
          <w:lang w:eastAsia="it-IT"/>
        </w:rPr>
      </w:pPr>
      <w:r w:rsidRPr="002279E2">
        <w:rPr>
          <w:rFonts w:cs="Times New Roman"/>
          <w:bCs/>
          <w:szCs w:val="24"/>
        </w:rPr>
        <w:t>La misura non comporta nuovi o maggiori oneri a carico delle finanze pubbliche, trovando integrale copertura nelle risorse stanziate per gli anni 2019, 2020 e 2021 a valere sul Fondo Sviluppo e Coesione (FSC), di cui all’articolo 1, comma 6, della legge 27 dicembre 2013, n. 147.</w:t>
      </w:r>
    </w:p>
    <w:p w:rsidR="00564806" w:rsidRPr="002279E2" w:rsidRDefault="00564806" w:rsidP="00612935"/>
    <w:p w:rsidR="00190CEB" w:rsidRPr="002279E2" w:rsidRDefault="00190CEB" w:rsidP="00190CEB">
      <w:pPr>
        <w:pStyle w:val="Titolo2"/>
      </w:pPr>
      <w:bookmarkStart w:id="70" w:name="_Toc6937366"/>
      <w:r w:rsidRPr="002279E2">
        <w:t>Articolo 3</w:t>
      </w:r>
      <w:r w:rsidR="00E97E40">
        <w:t>5</w:t>
      </w:r>
      <w:r w:rsidRPr="002279E2">
        <w:br/>
        <w:t>(</w:t>
      </w:r>
      <w:r w:rsidR="00A244B2" w:rsidRPr="002279E2">
        <w:t>Obblighi informativi erogazioni pubbliche</w:t>
      </w:r>
      <w:r w:rsidR="00E75AC2" w:rsidRPr="002279E2">
        <w:t>)</w:t>
      </w:r>
      <w:bookmarkEnd w:id="70"/>
    </w:p>
    <w:p w:rsidR="00F969A9" w:rsidRPr="00386E61" w:rsidRDefault="00F969A9" w:rsidP="00F969A9">
      <w:pPr>
        <w:rPr>
          <w:rFonts w:cs="Times New Roman"/>
        </w:rPr>
      </w:pPr>
      <w:r w:rsidRPr="00386E61">
        <w:rPr>
          <w:rFonts w:cs="Times New Roman"/>
        </w:rPr>
        <w:t>1. All’articolo 1 della legge 4 agosto 2017, n. 124, i commi da 125 a 129 sono sostituiti dai seguenti:</w:t>
      </w:r>
    </w:p>
    <w:p w:rsidR="00F969A9" w:rsidRPr="00FA105D" w:rsidRDefault="00F969A9" w:rsidP="00F969A9">
      <w:pPr>
        <w:ind w:left="284"/>
        <w:rPr>
          <w:rFonts w:cs="Times New Roman"/>
        </w:rPr>
      </w:pPr>
      <w:r w:rsidRPr="00FA105D">
        <w:rPr>
          <w:rFonts w:cs="Times New Roman"/>
          <w:bCs/>
        </w:rPr>
        <w:t>«125</w:t>
      </w:r>
      <w:r w:rsidRPr="00FA105D">
        <w:rPr>
          <w:rFonts w:cs="Times New Roman"/>
        </w:rPr>
        <w:t>. A partire dall’esercizio finanziario 2018, i soggetti di cui al periodo seguente sono tenuti a pubblicare nei propri siti Internet o analoghi portali digitali, entro il 30 giugno di ogni anno, le informazioni relative a sovvenzioni, sussidi, vantaggi, contributi o aiuti, in denaro o in natura, non aventi carattere generale e privi di natura corrispettiva, retributiva o risarcitoria, agli stessi effettivamente erogati nell’esercizio finanziario precedente dalle pubbliche amministrazioni di cui all’art. 1, comma 2, del decreto legislativo 30 marzo 2001, n. 165 e dai soggetti di cui all’articolo 2-bis del decreto legislativo 14 marzo 2013, n. 33. Il presente comma si applica:</w:t>
      </w:r>
    </w:p>
    <w:p w:rsidR="00F969A9" w:rsidRPr="00FA105D" w:rsidRDefault="00F969A9" w:rsidP="00826FD7">
      <w:pPr>
        <w:pStyle w:val="Paragrafoelenco"/>
        <w:numPr>
          <w:ilvl w:val="0"/>
          <w:numId w:val="29"/>
        </w:numPr>
        <w:spacing w:after="0" w:line="240" w:lineRule="auto"/>
        <w:ind w:left="284" w:firstLine="0"/>
        <w:rPr>
          <w:rFonts w:ascii="Times New Roman" w:hAnsi="Times New Roman"/>
          <w:lang w:val="it-IT"/>
        </w:rPr>
      </w:pPr>
      <w:r w:rsidRPr="00FA105D">
        <w:rPr>
          <w:rFonts w:ascii="Times New Roman" w:hAnsi="Times New Roman"/>
          <w:lang w:val="it-IT"/>
        </w:rPr>
        <w:t>ai soggetti di cui all’articolo 13 della legge 8 luglio 1986, n. 349, e successive modificazioni;</w:t>
      </w:r>
    </w:p>
    <w:p w:rsidR="00F969A9" w:rsidRPr="00FA105D" w:rsidRDefault="00F969A9" w:rsidP="00826FD7">
      <w:pPr>
        <w:pStyle w:val="Paragrafoelenco"/>
        <w:numPr>
          <w:ilvl w:val="0"/>
          <w:numId w:val="29"/>
        </w:numPr>
        <w:spacing w:after="0" w:line="240" w:lineRule="auto"/>
        <w:ind w:left="284" w:firstLine="0"/>
        <w:rPr>
          <w:rFonts w:ascii="Times New Roman" w:hAnsi="Times New Roman"/>
          <w:lang w:val="it-IT"/>
        </w:rPr>
      </w:pPr>
      <w:r w:rsidRPr="00FA105D">
        <w:rPr>
          <w:rFonts w:ascii="Times New Roman" w:hAnsi="Times New Roman"/>
          <w:lang w:val="it-IT"/>
        </w:rPr>
        <w:t>ai soggetti di cui all’articolo 137 del decreto legislativo 6 settembre 2005, n. 206;</w:t>
      </w:r>
    </w:p>
    <w:p w:rsidR="00F969A9" w:rsidRPr="00FA105D" w:rsidRDefault="00F969A9" w:rsidP="00826FD7">
      <w:pPr>
        <w:pStyle w:val="Paragrafoelenco"/>
        <w:numPr>
          <w:ilvl w:val="0"/>
          <w:numId w:val="29"/>
        </w:numPr>
        <w:spacing w:after="0" w:line="240" w:lineRule="auto"/>
        <w:ind w:left="284" w:firstLine="0"/>
        <w:rPr>
          <w:rFonts w:ascii="Times New Roman" w:hAnsi="Times New Roman"/>
          <w:lang w:val="it-IT"/>
        </w:rPr>
      </w:pPr>
      <w:r w:rsidRPr="00FA105D">
        <w:rPr>
          <w:rFonts w:ascii="Times New Roman" w:hAnsi="Times New Roman"/>
          <w:lang w:val="it-IT"/>
        </w:rPr>
        <w:t>alle associazioni, Onlus e fondazioni;</w:t>
      </w:r>
    </w:p>
    <w:p w:rsidR="00F969A9" w:rsidRPr="00FA105D" w:rsidRDefault="00F969A9" w:rsidP="00826FD7">
      <w:pPr>
        <w:pStyle w:val="Paragrafoelenco"/>
        <w:numPr>
          <w:ilvl w:val="0"/>
          <w:numId w:val="29"/>
        </w:numPr>
        <w:spacing w:after="0" w:line="240" w:lineRule="auto"/>
        <w:rPr>
          <w:rFonts w:ascii="Times New Roman" w:hAnsi="Times New Roman"/>
          <w:lang w:val="it-IT"/>
        </w:rPr>
      </w:pPr>
      <w:r w:rsidRPr="00FA105D">
        <w:rPr>
          <w:rFonts w:ascii="Times New Roman" w:hAnsi="Times New Roman"/>
          <w:lang w:val="it-IT"/>
        </w:rPr>
        <w:t>alle cooperative sociali che svolgono attività a favore degli stranieri di cui al decreto legislativo 25 luglio 1998, n. 286.</w:t>
      </w:r>
    </w:p>
    <w:p w:rsidR="00F969A9" w:rsidRPr="00FA105D" w:rsidRDefault="00F969A9" w:rsidP="00F969A9">
      <w:pPr>
        <w:pStyle w:val="Paragrafoelenco"/>
        <w:spacing w:after="0" w:line="240" w:lineRule="auto"/>
        <w:ind w:left="284"/>
        <w:rPr>
          <w:rFonts w:ascii="Times New Roman" w:hAnsi="Times New Roman"/>
          <w:lang w:val="it-IT"/>
        </w:rPr>
      </w:pPr>
      <w:r w:rsidRPr="00FA105D">
        <w:rPr>
          <w:rFonts w:ascii="Times New Roman" w:hAnsi="Times New Roman"/>
          <w:bCs/>
          <w:lang w:val="it-IT"/>
        </w:rPr>
        <w:t>125-</w:t>
      </w:r>
      <w:r w:rsidRPr="00FA105D">
        <w:rPr>
          <w:rFonts w:ascii="Times New Roman" w:hAnsi="Times New Roman"/>
          <w:bCs/>
          <w:i/>
          <w:iCs/>
          <w:color w:val="auto"/>
          <w:lang w:val="it-IT"/>
        </w:rPr>
        <w:t>bis.</w:t>
      </w:r>
      <w:r w:rsidRPr="00FA105D">
        <w:rPr>
          <w:rFonts w:ascii="Times New Roman" w:hAnsi="Times New Roman"/>
          <w:bCs/>
          <w:color w:val="auto"/>
          <w:lang w:val="it-IT"/>
        </w:rPr>
        <w:t xml:space="preserve"> </w:t>
      </w:r>
      <w:r w:rsidRPr="00FA105D">
        <w:rPr>
          <w:rFonts w:ascii="Times New Roman" w:hAnsi="Times New Roman"/>
          <w:color w:val="auto"/>
          <w:lang w:val="it-IT"/>
        </w:rPr>
        <w:t>I soggetti che esercitano le attività di cui all’art. 2195 del codice civile</w:t>
      </w:r>
      <w:r w:rsidRPr="00FA105D">
        <w:rPr>
          <w:rStyle w:val="Rimandocommento"/>
          <w:rFonts w:ascii="Times New Roman" w:hAnsi="Times New Roman"/>
          <w:color w:val="auto"/>
          <w:lang w:val="it-IT"/>
        </w:rPr>
        <w:t xml:space="preserve"> </w:t>
      </w:r>
      <w:r w:rsidRPr="00FA105D">
        <w:rPr>
          <w:rFonts w:ascii="Times New Roman" w:hAnsi="Times New Roman"/>
          <w:color w:val="auto"/>
          <w:lang w:val="it-IT"/>
        </w:rPr>
        <w:t xml:space="preserve">pubblicano nelle note integrative del bilancio di esercizio e dell’eventuale bilancio consolidato gli importi e le informazioni relativi a sovvenzioni, sussidi, vantaggi, contributi o aiuti, in denaro o in natura, non aventi carattere generale e privi di natura corrispettiva, retributiva o risarcitoria, agli stessi effettivamente erogati dalle pubbliche amministrazioni di cui all’art. 1, comma 2, del decreto legislativo 30 marzo 2001, n. 165 e dai soggetti di cui all’articolo 2-bis del decreto legislativo 14 marzo 2013, n. 33. I soggetti </w:t>
      </w:r>
      <w:r w:rsidR="00075B35" w:rsidRPr="00FA105D">
        <w:rPr>
          <w:rFonts w:ascii="Times New Roman" w:hAnsi="Times New Roman"/>
          <w:color w:val="auto"/>
          <w:lang w:val="it-IT"/>
        </w:rPr>
        <w:t xml:space="preserve">che redigono il bilancio ai sensi dell’articolo 2435-bis del codice civile e quelli comunque </w:t>
      </w:r>
      <w:r w:rsidRPr="00FA105D">
        <w:rPr>
          <w:rFonts w:ascii="Times New Roman" w:hAnsi="Times New Roman"/>
          <w:color w:val="auto"/>
          <w:lang w:val="it-IT"/>
        </w:rPr>
        <w:t>non tenuti alla redazione della nota integrativa assolvono all’obbligo di cui al periodo precedente mediante pubblicazione delle medesime info</w:t>
      </w:r>
      <w:r w:rsidRPr="00FA105D">
        <w:rPr>
          <w:rFonts w:ascii="Times New Roman" w:hAnsi="Times New Roman"/>
          <w:lang w:val="it-IT"/>
        </w:rPr>
        <w:t xml:space="preserve">rmazioni e importi, entro il 30 giugno di ogni anno, su propri siti Internet, secondo modalità liberamente accessibili al pubblico o, in mancanza di questi ultimi, sui portali digitali delle associazioni di categoria di appartenenza. </w:t>
      </w:r>
    </w:p>
    <w:p w:rsidR="00F969A9" w:rsidRPr="00FA105D" w:rsidRDefault="00F969A9" w:rsidP="00F969A9">
      <w:pPr>
        <w:ind w:left="284"/>
        <w:rPr>
          <w:rFonts w:cs="Times New Roman"/>
        </w:rPr>
      </w:pPr>
      <w:r w:rsidRPr="00FA105D">
        <w:rPr>
          <w:rFonts w:cs="Times New Roman"/>
        </w:rPr>
        <w:t>125-</w:t>
      </w:r>
      <w:r w:rsidRPr="00FA105D">
        <w:rPr>
          <w:rFonts w:cs="Times New Roman"/>
          <w:i/>
        </w:rPr>
        <w:t>ter</w:t>
      </w:r>
      <w:r w:rsidRPr="00FA105D">
        <w:rPr>
          <w:rFonts w:cs="Times New Roman"/>
        </w:rPr>
        <w:t>. A partire dal 1° gennaio 2020, l'inosservanza degli obblighi di cui ai commi 125 e 125-</w:t>
      </w:r>
      <w:r w:rsidRPr="00FA105D">
        <w:rPr>
          <w:rFonts w:cs="Times New Roman"/>
          <w:i/>
          <w:iCs/>
        </w:rPr>
        <w:t>bis</w:t>
      </w:r>
      <w:r w:rsidRPr="00FA105D">
        <w:rPr>
          <w:rFonts w:cs="Times New Roman"/>
        </w:rPr>
        <w:t xml:space="preserve"> comporta una sanzione pari all’1 per cento degli importi ricevuti </w:t>
      </w:r>
      <w:r w:rsidR="00986CF7">
        <w:rPr>
          <w:rFonts w:cs="Times New Roman"/>
        </w:rPr>
        <w:t>con</w:t>
      </w:r>
      <w:r w:rsidRPr="00FA105D">
        <w:rPr>
          <w:rFonts w:cs="Times New Roman"/>
        </w:rPr>
        <w:t xml:space="preserve"> un importo minimo di 2.000 euro. </w:t>
      </w:r>
      <w:r w:rsidR="00986CF7" w:rsidRPr="00986CF7">
        <w:rPr>
          <w:rFonts w:cs="Times New Roman"/>
        </w:rPr>
        <w:t xml:space="preserve">Competente ad irrogare la sanzione è l’amministrazione pubblica che ha erogato il beneficio o, in difetto, il Prefetto del luogo ove ha sede il beneficiario. Con il provvedimento di irrogazione della sanzione viene stabilito altresì il termine entro il quale ottemperare all’obbligo di pubblicazione. </w:t>
      </w:r>
      <w:r w:rsidRPr="00FA105D">
        <w:rPr>
          <w:rFonts w:cs="Times New Roman"/>
        </w:rPr>
        <w:t>Il perdurare dell’inosservanza degli obblighi di cui ai commi 125 e 125-</w:t>
      </w:r>
      <w:r w:rsidRPr="00FA105D">
        <w:rPr>
          <w:rFonts w:cs="Times New Roman"/>
          <w:i/>
          <w:iCs/>
        </w:rPr>
        <w:t>bis</w:t>
      </w:r>
      <w:r w:rsidRPr="00FA105D">
        <w:rPr>
          <w:rFonts w:cs="Times New Roman"/>
        </w:rPr>
        <w:t xml:space="preserve"> nonché il mancato pagamento della sanzione entro il termine di cui al periodo precedente è sanzionato con la restituzione integrale delle somme ai soggetti eroganti entro i successivi tre mesi.</w:t>
      </w:r>
    </w:p>
    <w:p w:rsidR="00F969A9" w:rsidRPr="00FA105D" w:rsidRDefault="00F969A9" w:rsidP="00F969A9">
      <w:pPr>
        <w:ind w:left="284"/>
        <w:rPr>
          <w:rFonts w:cs="Times New Roman"/>
        </w:rPr>
      </w:pPr>
      <w:r w:rsidRPr="00FA105D">
        <w:rPr>
          <w:rFonts w:cs="Times New Roman"/>
          <w:bCs/>
        </w:rPr>
        <w:t>125-</w:t>
      </w:r>
      <w:r w:rsidRPr="00FA105D">
        <w:rPr>
          <w:rFonts w:cs="Times New Roman"/>
          <w:bCs/>
          <w:i/>
          <w:iCs/>
        </w:rPr>
        <w:t>quater.</w:t>
      </w:r>
      <w:r w:rsidRPr="00FA105D">
        <w:rPr>
          <w:rFonts w:cs="Times New Roman"/>
          <w:bCs/>
        </w:rPr>
        <w:t xml:space="preserve"> </w:t>
      </w:r>
      <w:r w:rsidRPr="00FA105D">
        <w:rPr>
          <w:rFonts w:cs="Times New Roman"/>
        </w:rPr>
        <w:t>Qualora i soggetti eroganti sovvenzioni, sussidi, vantaggi, contributi o aiuti, in denaro o in natura, privi di natura corrispettiva, retributiva o risarcitoria di cui ai commi 125 e 125-</w:t>
      </w:r>
      <w:r w:rsidRPr="00FA105D">
        <w:rPr>
          <w:rFonts w:cs="Times New Roman"/>
          <w:i/>
          <w:iCs/>
        </w:rPr>
        <w:t>bis</w:t>
      </w:r>
      <w:r w:rsidRPr="00FA105D">
        <w:rPr>
          <w:rFonts w:cs="Times New Roman"/>
        </w:rPr>
        <w:t xml:space="preserve"> siano amministrazioni centrali dello Stato ed abbiano adempiuto agli obblighi di pubblicazione previsti dall’articolo 26 del decreto legislativo 14 marzo 2013, n. 33, le somme di cui al comma 125-ter sono versate ad apposito capitolo dell’entrata del bilancio dello Stato per essere riassegnate ai pertinenti capitoli degli stati di previsione delle amministrazioni originariamente competenti per materia. Nel caso in cui i soggetti eroganti di cui al periodo precedente non abbiano adempiuto agli obblighi di pubblicazione di cui all’articolo 26 del decreto legislativo 14 marzo 2013, n. 33, le somme di cui al comma 125-ter sono versate all’entrata del bilancio dello Stato per essere riassegnate al fondo per la lotta alla povertà e all’esclusione sociale di cui all’articolo 1, comma 386, della legge 8 dicembre 2015, n. 208. </w:t>
      </w:r>
    </w:p>
    <w:p w:rsidR="00F969A9" w:rsidRPr="00FA105D" w:rsidRDefault="00F969A9" w:rsidP="00F969A9">
      <w:pPr>
        <w:ind w:left="284"/>
        <w:rPr>
          <w:rFonts w:cs="Times New Roman"/>
        </w:rPr>
      </w:pPr>
      <w:r w:rsidRPr="00FA105D">
        <w:rPr>
          <w:rFonts w:cs="Times New Roman"/>
          <w:bCs/>
        </w:rPr>
        <w:t>125-</w:t>
      </w:r>
      <w:r w:rsidRPr="00FA105D">
        <w:rPr>
          <w:rFonts w:cs="Times New Roman"/>
          <w:bCs/>
          <w:i/>
          <w:iCs/>
        </w:rPr>
        <w:t>quinquies.</w:t>
      </w:r>
      <w:r w:rsidRPr="00FA105D">
        <w:rPr>
          <w:rFonts w:cs="Times New Roman"/>
          <w:bCs/>
        </w:rPr>
        <w:t xml:space="preserve"> </w:t>
      </w:r>
      <w:r w:rsidRPr="00FA105D">
        <w:rPr>
          <w:rFonts w:cs="Times New Roman"/>
        </w:rPr>
        <w:t xml:space="preserve">Per gli aiuti di Stato e gli aiuti </w:t>
      </w:r>
      <w:r w:rsidRPr="00FA105D">
        <w:rPr>
          <w:rFonts w:cs="Times New Roman"/>
          <w:i/>
          <w:iCs/>
        </w:rPr>
        <w:t xml:space="preserve">de minimis </w:t>
      </w:r>
      <w:r w:rsidRPr="00FA105D">
        <w:rPr>
          <w:rFonts w:cs="Times New Roman"/>
        </w:rPr>
        <w:t>contenuti nel Registro nazionale degli aiuti di Stato di cui all’articolo 52 della legge 24 dicembre 2012, n. 234, la registrazione degli aiuti nel predetto sistema, con conseguente pubblicazione nella sezione trasparenza ivi prevista, operata dai soggetti che concedono o gestiscono gli aiuti medesimi ai sensi della relativa disciplina, tiene luogo degli obblighi di pubblicazione posti a carico dei soggetti di cui ai commi 125 e 125-</w:t>
      </w:r>
      <w:r w:rsidRPr="00FA105D">
        <w:rPr>
          <w:rFonts w:cs="Times New Roman"/>
          <w:i/>
          <w:iCs/>
        </w:rPr>
        <w:t>bis</w:t>
      </w:r>
      <w:r w:rsidRPr="00FA105D">
        <w:rPr>
          <w:rFonts w:cs="Times New Roman"/>
        </w:rPr>
        <w:t>, a condizione che venga dichiarata l’esistenza di aiuti oggetto di obbligo di pubblicazione nell’ambito del Registro nazionale degli aiuti di Stato nella nota integrativa del bilancio oppure, ove non tenute alla redazione della nota integrativa, sul proprio sito internet o, in mancanza, sul portale digitale delle associazioni di categoria di appartenenza.</w:t>
      </w:r>
    </w:p>
    <w:p w:rsidR="00F969A9" w:rsidRPr="00FA105D" w:rsidRDefault="00F969A9" w:rsidP="00F969A9">
      <w:pPr>
        <w:ind w:left="284"/>
        <w:rPr>
          <w:rFonts w:cs="Times New Roman"/>
        </w:rPr>
      </w:pPr>
      <w:r w:rsidRPr="00FA105D">
        <w:rPr>
          <w:rFonts w:cs="Times New Roman"/>
          <w:bCs/>
        </w:rPr>
        <w:t>125-sexies</w:t>
      </w:r>
      <w:r w:rsidRPr="00FA105D">
        <w:rPr>
          <w:rFonts w:cs="Times New Roman"/>
        </w:rPr>
        <w:t>. Le cooperative sociali di cui al comma 125, lett. d), sono altresì tenute a pubblicare trimestralmente nei propri siti internet o portali digitali l'elenco dei soggetti a cui sono versate somme per lo svolgimento di servizi finalizzati ad attività di integrazione, assistenza e protezione sociale.</w:t>
      </w:r>
    </w:p>
    <w:p w:rsidR="00F969A9" w:rsidRPr="00FA105D" w:rsidRDefault="00F969A9" w:rsidP="00F969A9">
      <w:pPr>
        <w:ind w:left="284"/>
        <w:rPr>
          <w:rFonts w:cs="Times New Roman"/>
        </w:rPr>
      </w:pPr>
      <w:r w:rsidRPr="00FA105D">
        <w:rPr>
          <w:rFonts w:cs="Times New Roman"/>
          <w:bCs/>
        </w:rPr>
        <w:t>126</w:t>
      </w:r>
      <w:r w:rsidRPr="00FA105D">
        <w:rPr>
          <w:rFonts w:cs="Times New Roman"/>
        </w:rPr>
        <w:t>. A decorrere dal 1° gennaio 2018, gli obblighi di pubblicazione di cui all’articolo 26 del decreto legislativo 14 marzo 2013, n. 33, si applicano anche agli enti e alle società controllati di diritto o di fatto, direttamente o indirettamente, dalle amministrazioni dello Stato, mediante pubblicazione nei propri documenti contabili annuali, nella nota integrativa del bilancio. In caso di inosservanza di tale obbligo si applica una sanzione amministrativa pari alle somme erogate.</w:t>
      </w:r>
    </w:p>
    <w:p w:rsidR="00F969A9" w:rsidRPr="00FA105D" w:rsidRDefault="00F969A9" w:rsidP="00F969A9">
      <w:pPr>
        <w:ind w:left="284"/>
        <w:rPr>
          <w:rFonts w:cs="Times New Roman"/>
        </w:rPr>
      </w:pPr>
      <w:r w:rsidRPr="00FA105D">
        <w:rPr>
          <w:rFonts w:cs="Times New Roman"/>
          <w:bCs/>
        </w:rPr>
        <w:t>127</w:t>
      </w:r>
      <w:r w:rsidRPr="00FA105D">
        <w:rPr>
          <w:rFonts w:cs="Times New Roman"/>
        </w:rPr>
        <w:t>. Al fine di evitare la pubblicazione di informazioni non rilevanti, l’obbligo di pubblicazione di cui ai commi 125, 125-</w:t>
      </w:r>
      <w:r w:rsidRPr="00FA105D">
        <w:rPr>
          <w:rFonts w:cs="Times New Roman"/>
          <w:i/>
          <w:iCs/>
        </w:rPr>
        <w:t>bis</w:t>
      </w:r>
      <w:r w:rsidRPr="00FA105D">
        <w:rPr>
          <w:rFonts w:cs="Times New Roman"/>
        </w:rPr>
        <w:t xml:space="preserve"> e 126 non si applica ove l’importo monetario di sovvenzioni, sussidi, vantaggi, contributi o aiuti, in denaro o in natura, privi di natura corrispettiva, retributiva o risarcitoria effettivamente erogati al soggetto beneficiario sia inferiore a 10.000 euro nel periodo considerato. </w:t>
      </w:r>
    </w:p>
    <w:p w:rsidR="00F969A9" w:rsidRPr="00FA105D" w:rsidRDefault="00F969A9" w:rsidP="00F969A9">
      <w:pPr>
        <w:ind w:left="284"/>
        <w:rPr>
          <w:rFonts w:cs="Times New Roman"/>
        </w:rPr>
      </w:pPr>
      <w:r w:rsidRPr="00FA105D">
        <w:rPr>
          <w:rFonts w:cs="Times New Roman"/>
          <w:bCs/>
        </w:rPr>
        <w:t>128</w:t>
      </w:r>
      <w:r w:rsidRPr="00FA105D">
        <w:rPr>
          <w:rFonts w:cs="Times New Roman"/>
        </w:rPr>
        <w:t xml:space="preserve">. All’articolo 26, comma 2, del decreto legislativo 14 marzo 2013, n. 33, è aggiunto, infine, il seguente periodo: «Ove i soggetti beneficiari siano controllati di diritto o di fatto dalla stessa persona fisica o giuridica ovvero dagli stessi gruppi di persone fisiche o giuridiche, vengono altresì pubblicati i dati consolidati di gruppo». </w:t>
      </w:r>
    </w:p>
    <w:p w:rsidR="00F969A9" w:rsidRPr="00FA105D" w:rsidRDefault="00F969A9" w:rsidP="00F969A9">
      <w:pPr>
        <w:ind w:left="284"/>
        <w:rPr>
          <w:rFonts w:cs="Times New Roman"/>
        </w:rPr>
      </w:pPr>
      <w:r w:rsidRPr="00FA105D">
        <w:rPr>
          <w:rFonts w:cs="Times New Roman"/>
          <w:bCs/>
        </w:rPr>
        <w:t>129</w:t>
      </w:r>
      <w:r w:rsidRPr="00FA105D">
        <w:rPr>
          <w:rFonts w:cs="Times New Roman"/>
        </w:rPr>
        <w:t>. All’attuazione delle disposizioni previste dai commi da 125 a 128 le amministrazioni, gli enti e le società di cui ai predetti commi provvedono nell’ambito delle risorse umane, finanziarie e strumentali previste a legislazione vigente e, comunque, senza nuovi o maggiori oneri a carico della finanza pubblica.»</w:t>
      </w:r>
    </w:p>
    <w:p w:rsidR="00F969A9" w:rsidRPr="00FA105D" w:rsidRDefault="00F969A9" w:rsidP="00F969A9">
      <w:pPr>
        <w:rPr>
          <w:rFonts w:cs="Times New Roman"/>
        </w:rPr>
      </w:pPr>
      <w:r w:rsidRPr="00FA105D">
        <w:rPr>
          <w:rFonts w:cs="Times New Roman"/>
        </w:rPr>
        <w:t xml:space="preserve">2. Il comma 2 dell’articolo 3-quater del decreto legge 14 dicembre 2018, n. 135, convertito con modificazioni dalla legge 11 febbraio 2019, n. 12, è soppresso. </w:t>
      </w:r>
    </w:p>
    <w:p w:rsidR="00F969A9" w:rsidRPr="00386E61" w:rsidRDefault="00F969A9" w:rsidP="00F969A9">
      <w:pPr>
        <w:rPr>
          <w:rFonts w:cs="Times New Roman"/>
          <w:i/>
          <w:szCs w:val="24"/>
        </w:rPr>
      </w:pPr>
    </w:p>
    <w:p w:rsidR="00F969A9" w:rsidRPr="00386E61" w:rsidRDefault="00F969A9" w:rsidP="00F969A9">
      <w:pPr>
        <w:rPr>
          <w:rFonts w:cs="Times New Roman"/>
          <w:b/>
          <w:szCs w:val="24"/>
        </w:rPr>
      </w:pPr>
      <w:r w:rsidRPr="00386E61">
        <w:rPr>
          <w:rFonts w:cs="Times New Roman"/>
          <w:b/>
          <w:szCs w:val="24"/>
        </w:rPr>
        <w:t>Relazione illustrativa e tecnica</w:t>
      </w:r>
    </w:p>
    <w:p w:rsidR="00F969A9" w:rsidRPr="00386E61" w:rsidRDefault="00F969A9" w:rsidP="00F969A9">
      <w:pPr>
        <w:rPr>
          <w:rFonts w:cs="Times New Roman"/>
          <w:szCs w:val="24"/>
        </w:rPr>
      </w:pPr>
      <w:r w:rsidRPr="00386E61">
        <w:rPr>
          <w:rFonts w:cs="Times New Roman"/>
          <w:szCs w:val="24"/>
        </w:rPr>
        <w:t>La disciplina sulla trasparenza delle erogazioni pubbliche introdotta dall’articolo 1, commi da 125 a 129, della legge 4 agosto 2017, n. 124 stabilisce obblighi di pubblicità ulteriori rispetto a quelli già previsti dal d.lgs. n. 33/2013, non ha ad oggi ancora trovatop applicazione a causa delle difficoltà intepretative delle relative disposizioni che non specificavano in maniera chiara le differenti modalità di adempimento in capo alle seguenti categorie di soggetti:</w:t>
      </w:r>
    </w:p>
    <w:p w:rsidR="00F969A9" w:rsidRPr="00386E61" w:rsidRDefault="00F969A9" w:rsidP="00826FD7">
      <w:pPr>
        <w:pStyle w:val="Paragrafoelenco"/>
        <w:numPr>
          <w:ilvl w:val="0"/>
          <w:numId w:val="32"/>
        </w:numPr>
        <w:rPr>
          <w:szCs w:val="24"/>
        </w:rPr>
      </w:pPr>
      <w:r w:rsidRPr="00386E61">
        <w:rPr>
          <w:rFonts w:ascii="Times New Roman" w:hAnsi="Times New Roman"/>
          <w:szCs w:val="24"/>
        </w:rPr>
        <w:t>Associazioni, fondazioni, Onlus</w:t>
      </w:r>
    </w:p>
    <w:p w:rsidR="00F969A9" w:rsidRPr="00386E61" w:rsidRDefault="00F969A9" w:rsidP="00826FD7">
      <w:pPr>
        <w:pStyle w:val="Paragrafoelenco"/>
        <w:numPr>
          <w:ilvl w:val="0"/>
          <w:numId w:val="32"/>
        </w:numPr>
        <w:rPr>
          <w:szCs w:val="24"/>
        </w:rPr>
      </w:pPr>
      <w:r w:rsidRPr="00D50229">
        <w:rPr>
          <w:rFonts w:ascii="Times New Roman" w:hAnsi="Times New Roman"/>
          <w:szCs w:val="24"/>
          <w:lang w:val="it-IT"/>
        </w:rPr>
        <w:t>cooperative sociali</w:t>
      </w:r>
      <w:r w:rsidRPr="00D50229">
        <w:rPr>
          <w:rFonts w:ascii="Times New Roman" w:hAnsi="Times New Roman"/>
          <w:lang w:val="it-IT"/>
        </w:rPr>
        <w:t xml:space="preserve"> </w:t>
      </w:r>
      <w:r w:rsidRPr="00D50229">
        <w:rPr>
          <w:rFonts w:ascii="Times New Roman" w:hAnsi="Times New Roman"/>
          <w:szCs w:val="24"/>
          <w:lang w:val="it-IT"/>
        </w:rPr>
        <w:t>che svolgono attività a favore degli stranieri</w:t>
      </w:r>
    </w:p>
    <w:p w:rsidR="00F969A9" w:rsidRPr="00386E61" w:rsidRDefault="00F969A9" w:rsidP="00826FD7">
      <w:pPr>
        <w:pStyle w:val="Paragrafoelenco"/>
        <w:numPr>
          <w:ilvl w:val="0"/>
          <w:numId w:val="32"/>
        </w:numPr>
        <w:rPr>
          <w:szCs w:val="24"/>
        </w:rPr>
      </w:pPr>
      <w:r w:rsidRPr="00386E61">
        <w:rPr>
          <w:rFonts w:ascii="Times New Roman" w:hAnsi="Times New Roman"/>
          <w:szCs w:val="24"/>
        </w:rPr>
        <w:t>le imprese.</w:t>
      </w:r>
    </w:p>
    <w:p w:rsidR="00F969A9" w:rsidRPr="00386E61" w:rsidRDefault="00F969A9" w:rsidP="00F969A9">
      <w:pPr>
        <w:rPr>
          <w:rFonts w:cs="Times New Roman"/>
          <w:szCs w:val="24"/>
        </w:rPr>
      </w:pPr>
      <w:r w:rsidRPr="00386E61">
        <w:rPr>
          <w:rFonts w:cs="Times New Roman"/>
          <w:szCs w:val="24"/>
        </w:rPr>
        <w:t>Per questo motivo si rende necessario un intervento chiarificatore urgente per consentire alle imprese di adempiere correttamente entro i termini previsti.</w:t>
      </w:r>
    </w:p>
    <w:p w:rsidR="00F969A9" w:rsidRPr="00386E61" w:rsidRDefault="00F969A9" w:rsidP="00F969A9">
      <w:pPr>
        <w:rPr>
          <w:rFonts w:cs="Times New Roman"/>
          <w:szCs w:val="24"/>
        </w:rPr>
      </w:pPr>
    </w:p>
    <w:p w:rsidR="00F969A9" w:rsidRPr="00386E61" w:rsidRDefault="00F969A9" w:rsidP="00F969A9">
      <w:pPr>
        <w:rPr>
          <w:rFonts w:cs="Times New Roman"/>
          <w:szCs w:val="24"/>
        </w:rPr>
      </w:pPr>
      <w:r w:rsidRPr="00386E61">
        <w:rPr>
          <w:rFonts w:cs="Times New Roman"/>
          <w:szCs w:val="24"/>
        </w:rPr>
        <w:t>A tale proposito per la prima categoria di operatori, si prevede che la pubblicazione delle informazioni avvenga entro il 30 giugno di ogni anno, a partire dall’esercizio finanziario 2018, “sui propri siti internet o analoghi portali digitali;.”.</w:t>
      </w:r>
    </w:p>
    <w:p w:rsidR="00F969A9" w:rsidRPr="00386E61" w:rsidRDefault="00F969A9" w:rsidP="00F969A9">
      <w:pPr>
        <w:rPr>
          <w:rFonts w:cs="Times New Roman"/>
          <w:szCs w:val="24"/>
        </w:rPr>
      </w:pPr>
      <w:r w:rsidRPr="00386E61">
        <w:rPr>
          <w:rFonts w:cs="Times New Roman"/>
          <w:szCs w:val="24"/>
        </w:rPr>
        <w:t>Per le imprese e le cooperative invece, si rende necessario distinguere tra quelle tenute alla redazione della nota integrativa del bilancio di esercizio) e quelle che non sono soggette al medesimo obbligo (artt. 2083,. 2214, 2215, 2215-bis, 2216, 2217e   2435-ter codice civile).</w:t>
      </w:r>
    </w:p>
    <w:p w:rsidR="00F969A9" w:rsidRPr="00386E61" w:rsidRDefault="00F969A9" w:rsidP="00F969A9">
      <w:pPr>
        <w:rPr>
          <w:rFonts w:cs="Times New Roman"/>
          <w:szCs w:val="24"/>
        </w:rPr>
      </w:pPr>
      <w:r w:rsidRPr="00386E61">
        <w:rPr>
          <w:rFonts w:cs="Times New Roman"/>
          <w:szCs w:val="24"/>
        </w:rPr>
        <w:t>Per le prime, l’adempimento degli obblighi informativi di cui si tratta avverrà mediante pubblicazione degli importi ricevuti nella nota integrativa del bilancio di esercizio e nella nota integrativa dell’eventuale bilancio consolidato.</w:t>
      </w:r>
    </w:p>
    <w:p w:rsidR="00F969A9" w:rsidRPr="00386E61" w:rsidRDefault="00F969A9" w:rsidP="00F969A9">
      <w:pPr>
        <w:rPr>
          <w:rFonts w:cs="Times New Roman"/>
          <w:szCs w:val="24"/>
        </w:rPr>
      </w:pPr>
      <w:r w:rsidRPr="00386E61">
        <w:rPr>
          <w:rFonts w:cs="Times New Roman"/>
          <w:szCs w:val="24"/>
        </w:rPr>
        <w:t>Per la seconda categoria di imprese, che non sono soggette all’ obbligo di predisposizione della nota integrativa, l’obbligo di trasparenza, in analogia a quanto previsto per le associazioni, le Onlus e le fondazioni, potrà essere assolto, mediante pubblicazione degli importi ricevuti sul proprio sito internet o, in mancanza, sul portale digitale delle associazioni di categoria di appartenenza dell’impresa. In alternativa, ove tali imprese decidano di redigere la nota integrativa allegata al proprio bilancio di esercizio, l’obbligo di trasparenza sarà assolto all’interno della nota stessa.</w:t>
      </w:r>
    </w:p>
    <w:p w:rsidR="00F969A9" w:rsidRPr="00386E61" w:rsidRDefault="00F969A9" w:rsidP="00F969A9">
      <w:pPr>
        <w:rPr>
          <w:rFonts w:cs="Times New Roman"/>
          <w:szCs w:val="24"/>
        </w:rPr>
      </w:pPr>
      <w:r w:rsidRPr="00386E61">
        <w:rPr>
          <w:rFonts w:cs="Times New Roman"/>
          <w:szCs w:val="24"/>
        </w:rPr>
        <w:t>L’obbligo trova applicazione per la prima volta in sede di approvazione dei bilanci relativi all’esercizio 2018. Le imprese tenute alla pubblicazione sui siti internet o sui portali digitali devono adempiere agli obblighi di trasparenza entro e non oltre il 30 giugno 2019.</w:t>
      </w:r>
    </w:p>
    <w:p w:rsidR="00F969A9" w:rsidRPr="00386E61" w:rsidRDefault="00F969A9" w:rsidP="00F969A9">
      <w:pPr>
        <w:rPr>
          <w:rFonts w:cs="Times New Roman"/>
          <w:szCs w:val="24"/>
        </w:rPr>
      </w:pPr>
      <w:r w:rsidRPr="00386E61">
        <w:rPr>
          <w:rFonts w:cs="Times New Roman"/>
          <w:szCs w:val="24"/>
        </w:rPr>
        <w:t>L’inosservanza di tale obbligo a partire dal 1° gennaio 2020, comporterà una sanzione pari all’1 per cento degli importi ricevuti con un minimo di 2.000 euro, da pagare entro tre mesi dalla notifica dell’atto di contestazione della violazione. Il perdurare dell’inosservanza degli obblighi informativi nonché il mancato pagamento della sanzione entro il termine di cui al periodo precedente è sanzionato con la restituzione integrale delle somme ai soggetti eroganti entro i successivi tre mesi..</w:t>
      </w:r>
    </w:p>
    <w:p w:rsidR="00F969A9" w:rsidRPr="00386E61" w:rsidRDefault="00F969A9" w:rsidP="00F969A9">
      <w:pPr>
        <w:rPr>
          <w:rFonts w:cs="Times New Roman"/>
          <w:szCs w:val="24"/>
        </w:rPr>
      </w:pPr>
      <w:r w:rsidRPr="00386E61">
        <w:rPr>
          <w:rFonts w:cs="Times New Roman"/>
          <w:i/>
          <w:szCs w:val="24"/>
        </w:rPr>
        <w:t>I</w:t>
      </w:r>
      <w:r w:rsidRPr="00D50229">
        <w:rPr>
          <w:rFonts w:cs="Times New Roman"/>
          <w:i/>
          <w:szCs w:val="24"/>
        </w:rPr>
        <w:t>l</w:t>
      </w:r>
      <w:r w:rsidRPr="00386E61">
        <w:rPr>
          <w:rFonts w:cs="Times New Roman"/>
          <w:szCs w:val="24"/>
        </w:rPr>
        <w:t xml:space="preserve"> nuovo comma 125-</w:t>
      </w:r>
      <w:r w:rsidRPr="00386E61">
        <w:rPr>
          <w:rFonts w:cs="Times New Roman"/>
          <w:i/>
          <w:szCs w:val="24"/>
        </w:rPr>
        <w:t xml:space="preserve">quinquies </w:t>
      </w:r>
      <w:r w:rsidRPr="00D50229">
        <w:rPr>
          <w:rFonts w:cs="Times New Roman"/>
          <w:szCs w:val="24"/>
        </w:rPr>
        <w:t>prevede</w:t>
      </w:r>
      <w:r w:rsidRPr="00386E61">
        <w:rPr>
          <w:rFonts w:cs="Times New Roman"/>
          <w:i/>
          <w:szCs w:val="24"/>
        </w:rPr>
        <w:t xml:space="preserve"> </w:t>
      </w:r>
      <w:r w:rsidRPr="00D50229">
        <w:rPr>
          <w:rFonts w:cs="Times New Roman"/>
          <w:szCs w:val="24"/>
        </w:rPr>
        <w:t>che</w:t>
      </w:r>
      <w:r w:rsidRPr="00386E61">
        <w:rPr>
          <w:rFonts w:cs="Times New Roman"/>
          <w:i/>
          <w:szCs w:val="24"/>
        </w:rPr>
        <w:t xml:space="preserve"> </w:t>
      </w:r>
      <w:r w:rsidRPr="00386E61">
        <w:rPr>
          <w:rFonts w:cs="Times New Roman"/>
          <w:szCs w:val="24"/>
        </w:rPr>
        <w:t xml:space="preserve">per gli aiuti di Stato e gli aiuti </w:t>
      </w:r>
      <w:r w:rsidRPr="00386E61">
        <w:rPr>
          <w:rFonts w:cs="Times New Roman"/>
          <w:i/>
          <w:szCs w:val="24"/>
        </w:rPr>
        <w:t xml:space="preserve">de minimis </w:t>
      </w:r>
      <w:r w:rsidRPr="00386E61">
        <w:rPr>
          <w:rFonts w:cs="Times New Roman"/>
          <w:szCs w:val="24"/>
        </w:rPr>
        <w:t>contenuti nel Registro nazionale degli aiuti di Stato di cui all’</w:t>
      </w:r>
      <w:hyperlink r:id="rId11" w:anchor="id=10LX0000778895ART90,__m=document" w:history="1">
        <w:r w:rsidRPr="00386E61">
          <w:rPr>
            <w:rFonts w:cs="Times New Roman"/>
            <w:szCs w:val="24"/>
          </w:rPr>
          <w:t>articolo 52 della legge 24 dicembre 2012, n. 234</w:t>
        </w:r>
      </w:hyperlink>
      <w:r w:rsidRPr="00386E61">
        <w:rPr>
          <w:rFonts w:cs="Times New Roman"/>
          <w:szCs w:val="24"/>
        </w:rPr>
        <w:t>, la registrazione in tale sistema, tiene luogo degli obblighi di pubblicazione posti a carico delle imprese beneficiarie previsti dal comma 125 e 125-</w:t>
      </w:r>
      <w:r w:rsidRPr="00386E61">
        <w:rPr>
          <w:rFonts w:cs="Times New Roman"/>
          <w:i/>
          <w:szCs w:val="24"/>
        </w:rPr>
        <w:t>bis</w:t>
      </w:r>
      <w:r w:rsidRPr="00386E61">
        <w:rPr>
          <w:rFonts w:cs="Times New Roman"/>
          <w:szCs w:val="24"/>
        </w:rPr>
        <w:t>, a condizione che venga dichiarata l’esistenza di aiuti oggetto di obbligo di pubblicazione nell’ambito del Registro nazionale degli aiuti di Stato nella nota integrativa del bilancio oppure, ove non tenute alla redazione della nota integrativa, sul proprio sito internet o, in mancanza, sul portale digitale delle associazioni di categoria di appartenenza, si provvede alla contestuale abrogazione dell’analoga disposizione contenuta all’articolo 3-quater comma 2 del DL n. 135/2018, convertito con modificazioni nella legge n. 12/2019.</w:t>
      </w:r>
    </w:p>
    <w:p w:rsidR="00F969A9" w:rsidRPr="00386E61" w:rsidRDefault="00F969A9" w:rsidP="00F969A9">
      <w:pPr>
        <w:rPr>
          <w:rFonts w:cs="Times New Roman"/>
          <w:szCs w:val="24"/>
        </w:rPr>
      </w:pPr>
      <w:r w:rsidRPr="00386E61">
        <w:rPr>
          <w:rFonts w:cs="Times New Roman"/>
          <w:szCs w:val="24"/>
        </w:rPr>
        <w:t>Il comma 125-sexies riproduce quanto prima stabilito nel tezo periodo del comma 125 della legge n. 124 del 2017.</w:t>
      </w:r>
    </w:p>
    <w:p w:rsidR="00F969A9" w:rsidRPr="00386E61" w:rsidRDefault="00F969A9" w:rsidP="00F969A9">
      <w:pPr>
        <w:rPr>
          <w:rFonts w:cs="Times New Roman"/>
          <w:szCs w:val="24"/>
        </w:rPr>
      </w:pPr>
      <w:r w:rsidRPr="00386E61">
        <w:rPr>
          <w:rFonts w:cs="Times New Roman"/>
          <w:szCs w:val="24"/>
        </w:rPr>
        <w:t>Gli altri commi restano invariati rispetto alla originale formulazione.</w:t>
      </w:r>
    </w:p>
    <w:p w:rsidR="00F969A9" w:rsidRPr="00386E61" w:rsidRDefault="00F969A9" w:rsidP="00F969A9">
      <w:pPr>
        <w:rPr>
          <w:rFonts w:cs="Times New Roman"/>
          <w:szCs w:val="24"/>
        </w:rPr>
      </w:pPr>
    </w:p>
    <w:p w:rsidR="00F969A9" w:rsidRPr="00386E61" w:rsidRDefault="00F969A9" w:rsidP="00F969A9">
      <w:pPr>
        <w:rPr>
          <w:rFonts w:cs="Times New Roman"/>
          <w:szCs w:val="24"/>
        </w:rPr>
      </w:pPr>
      <w:r w:rsidRPr="00386E61">
        <w:rPr>
          <w:rFonts w:cs="Times New Roman"/>
          <w:szCs w:val="24"/>
        </w:rPr>
        <w:t>La norma non comporta nuovi o maggiori oneri a carico della finanza pubblica.</w:t>
      </w:r>
    </w:p>
    <w:p w:rsidR="005D364D" w:rsidRPr="002279E2" w:rsidRDefault="005D364D" w:rsidP="005D364D"/>
    <w:p w:rsidR="00A244B2" w:rsidRPr="002279E2" w:rsidRDefault="00A244B2" w:rsidP="00A244B2">
      <w:pPr>
        <w:pStyle w:val="Titolo2"/>
        <w:rPr>
          <w:szCs w:val="24"/>
        </w:rPr>
      </w:pPr>
      <w:bookmarkStart w:id="71" w:name="_Toc6937367"/>
      <w:r w:rsidRPr="00FA105D">
        <w:t>Articolo 3</w:t>
      </w:r>
      <w:r w:rsidR="00E97E40">
        <w:t>6</w:t>
      </w:r>
      <w:r w:rsidRPr="00FA105D">
        <w:br/>
      </w:r>
      <w:r w:rsidR="007F4AAA" w:rsidRPr="00FA105D">
        <w:rPr>
          <w:szCs w:val="24"/>
        </w:rPr>
        <w:t>(Banche popolari</w:t>
      </w:r>
      <w:r w:rsidR="0034235F" w:rsidRPr="00FA105D">
        <w:rPr>
          <w:szCs w:val="24"/>
        </w:rPr>
        <w:t xml:space="preserve"> e Fondo indennizzo risparmiatori</w:t>
      </w:r>
      <w:r w:rsidR="007F4AAA" w:rsidRPr="00FA105D">
        <w:rPr>
          <w:szCs w:val="24"/>
        </w:rPr>
        <w:t>)</w:t>
      </w:r>
      <w:bookmarkEnd w:id="71"/>
    </w:p>
    <w:p w:rsidR="00F049F4" w:rsidRPr="002279E2" w:rsidRDefault="00F049F4" w:rsidP="00F049F4">
      <w:pPr>
        <w:rPr>
          <w:color w:val="auto"/>
          <w:lang w:eastAsia="it-IT"/>
        </w:rPr>
      </w:pPr>
      <w:r w:rsidRPr="002279E2">
        <w:rPr>
          <w:color w:val="auto"/>
          <w:lang w:eastAsia="it-IT"/>
        </w:rPr>
        <w:t>1.All'articolo 1</w:t>
      </w:r>
      <w:r w:rsidR="004416FD">
        <w:rPr>
          <w:color w:val="auto"/>
          <w:lang w:eastAsia="it-IT"/>
        </w:rPr>
        <w:t>, comma 2, del decreto-legge 24</w:t>
      </w:r>
      <w:r w:rsidRPr="002279E2">
        <w:rPr>
          <w:color w:val="auto"/>
          <w:lang w:eastAsia="it-IT"/>
        </w:rPr>
        <w:t xml:space="preserve"> gennaio 2015, n. 3, convertito, con modificazioni, dalla legge 24 marzo 2015, n. 33, la parola: "2019" è sostituita dalla seguente: "2020".</w:t>
      </w:r>
    </w:p>
    <w:p w:rsidR="00F049F4" w:rsidRPr="002279E2" w:rsidRDefault="00F049F4" w:rsidP="00F049F4">
      <w:pPr>
        <w:rPr>
          <w:color w:val="auto"/>
        </w:rPr>
      </w:pPr>
      <w:r w:rsidRPr="002279E2">
        <w:rPr>
          <w:color w:val="auto"/>
        </w:rPr>
        <w:t>2. All’articolo 1 della legge 30 dicembre 2018, n. 145, sono apportate le seguenti modifiche:</w:t>
      </w:r>
    </w:p>
    <w:p w:rsidR="00F049F4" w:rsidRPr="006230F7" w:rsidRDefault="006230F7" w:rsidP="00826FD7">
      <w:pPr>
        <w:pStyle w:val="Paragrafoelenco"/>
        <w:numPr>
          <w:ilvl w:val="0"/>
          <w:numId w:val="30"/>
        </w:numPr>
        <w:spacing w:after="0" w:line="240" w:lineRule="auto"/>
        <w:ind w:left="567" w:hanging="284"/>
        <w:rPr>
          <w:rFonts w:ascii="Times New Roman" w:hAnsi="Times New Roman"/>
          <w:color w:val="auto"/>
          <w:lang w:val="it-IT"/>
        </w:rPr>
      </w:pPr>
      <w:r w:rsidRPr="006230F7">
        <w:rPr>
          <w:rFonts w:ascii="Times New Roman" w:hAnsi="Times New Roman"/>
          <w:lang w:val="it-IT"/>
        </w:rPr>
        <w:t>al comma 494 le parole “</w:t>
      </w:r>
      <w:r w:rsidRPr="006230F7">
        <w:rPr>
          <w:rFonts w:ascii="Times New Roman" w:hAnsi="Times New Roman"/>
          <w:i/>
          <w:iCs/>
          <w:lang w:val="it-IT"/>
        </w:rPr>
        <w:t>e aventi causa</w:t>
      </w:r>
      <w:r w:rsidRPr="006230F7">
        <w:rPr>
          <w:rFonts w:ascii="Times New Roman" w:hAnsi="Times New Roman"/>
          <w:lang w:val="it-IT"/>
        </w:rPr>
        <w:t>” sono sostituite dalle seguenti parole “</w:t>
      </w:r>
      <w:r w:rsidRPr="006230F7">
        <w:rPr>
          <w:rFonts w:ascii="Times New Roman" w:hAnsi="Times New Roman"/>
          <w:i/>
          <w:iCs/>
          <w:lang w:val="it-IT"/>
        </w:rPr>
        <w:t>mortis causa,</w:t>
      </w:r>
      <w:r w:rsidRPr="006230F7">
        <w:rPr>
          <w:rFonts w:ascii="Times New Roman" w:hAnsi="Times New Roman"/>
          <w:lang w:val="it-IT"/>
        </w:rPr>
        <w:t xml:space="preserve"> </w:t>
      </w:r>
      <w:r w:rsidRPr="006230F7">
        <w:rPr>
          <w:rFonts w:ascii="Times New Roman" w:hAnsi="Times New Roman"/>
          <w:i/>
          <w:iCs/>
          <w:lang w:val="it-IT"/>
        </w:rPr>
        <w:t>o il coniuge, il soggetto legato da unione civile, il convivente more uxorio o di fatto di cui alla legge 20 maggio 2016, n. 76, i parenti entro il secondo grado, ove siano succeduti nel possesso dei predetti strumenti finanziari in forza di trasferimento a titolo particolare per atto tra vivi.</w:t>
      </w:r>
      <w:r w:rsidRPr="006230F7">
        <w:rPr>
          <w:rFonts w:ascii="Times New Roman" w:hAnsi="Times New Roman"/>
          <w:lang w:val="it-IT"/>
        </w:rPr>
        <w:t>”</w:t>
      </w:r>
      <w:r w:rsidR="00F049F4" w:rsidRPr="006230F7">
        <w:rPr>
          <w:rFonts w:ascii="Times New Roman" w:hAnsi="Times New Roman"/>
          <w:color w:val="auto"/>
          <w:lang w:val="it-IT"/>
        </w:rPr>
        <w:t>;</w:t>
      </w:r>
    </w:p>
    <w:p w:rsidR="00F049F4" w:rsidRPr="002279E2" w:rsidRDefault="00F049F4" w:rsidP="00826FD7">
      <w:pPr>
        <w:pStyle w:val="Paragrafoelenco"/>
        <w:numPr>
          <w:ilvl w:val="0"/>
          <w:numId w:val="30"/>
        </w:numPr>
        <w:spacing w:after="0" w:line="240" w:lineRule="auto"/>
        <w:ind w:left="567" w:hanging="284"/>
        <w:rPr>
          <w:rFonts w:ascii="Times New Roman" w:hAnsi="Times New Roman"/>
          <w:color w:val="auto"/>
          <w:lang w:val="it-IT"/>
        </w:rPr>
      </w:pPr>
      <w:r w:rsidRPr="002279E2">
        <w:rPr>
          <w:rFonts w:ascii="Times New Roman" w:hAnsi="Times New Roman"/>
          <w:color w:val="auto"/>
          <w:lang w:val="it-IT"/>
        </w:rPr>
        <w:t>al comma 496 nel primo periodo, dopo le parole “</w:t>
      </w:r>
      <w:r w:rsidRPr="002279E2">
        <w:rPr>
          <w:rFonts w:ascii="Times New Roman" w:hAnsi="Times New Roman"/>
          <w:i/>
          <w:iCs/>
          <w:color w:val="auto"/>
          <w:lang w:val="it-IT"/>
        </w:rPr>
        <w:t>costo di acquisto</w:t>
      </w:r>
      <w:r w:rsidRPr="002279E2">
        <w:rPr>
          <w:rFonts w:ascii="Times New Roman" w:hAnsi="Times New Roman"/>
          <w:color w:val="auto"/>
          <w:lang w:val="it-IT"/>
        </w:rPr>
        <w:t>,” sono inserite le seguenti “</w:t>
      </w:r>
      <w:r w:rsidRPr="002279E2">
        <w:rPr>
          <w:rFonts w:ascii="Times New Roman" w:hAnsi="Times New Roman"/>
          <w:i/>
          <w:iCs/>
          <w:color w:val="auto"/>
          <w:lang w:val="it-IT"/>
        </w:rPr>
        <w:t>inclusi gli oneri fiscali</w:t>
      </w:r>
      <w:r w:rsidRPr="002279E2">
        <w:rPr>
          <w:rFonts w:ascii="Times New Roman" w:hAnsi="Times New Roman"/>
          <w:color w:val="auto"/>
          <w:lang w:val="it-IT"/>
        </w:rPr>
        <w:t>,”;</w:t>
      </w:r>
    </w:p>
    <w:p w:rsidR="00F049F4" w:rsidRPr="002279E2" w:rsidRDefault="00F049F4" w:rsidP="00826FD7">
      <w:pPr>
        <w:pStyle w:val="Paragrafoelenco"/>
        <w:numPr>
          <w:ilvl w:val="0"/>
          <w:numId w:val="30"/>
        </w:numPr>
        <w:spacing w:after="0" w:line="240" w:lineRule="auto"/>
        <w:ind w:left="567" w:hanging="284"/>
        <w:rPr>
          <w:rFonts w:ascii="Times New Roman" w:hAnsi="Times New Roman"/>
          <w:color w:val="auto"/>
          <w:lang w:val="it-IT"/>
        </w:rPr>
      </w:pPr>
      <w:r w:rsidRPr="002279E2">
        <w:rPr>
          <w:rFonts w:ascii="Times New Roman" w:hAnsi="Times New Roman"/>
          <w:color w:val="auto"/>
          <w:lang w:val="it-IT"/>
        </w:rPr>
        <w:t>al comma 497 nel primo periodo, dopo le parole “</w:t>
      </w:r>
      <w:r w:rsidRPr="002279E2">
        <w:rPr>
          <w:rFonts w:ascii="Times New Roman" w:hAnsi="Times New Roman"/>
          <w:i/>
          <w:iCs/>
          <w:color w:val="auto"/>
          <w:lang w:val="it-IT"/>
        </w:rPr>
        <w:t>costo di acquisto,</w:t>
      </w:r>
      <w:r w:rsidRPr="002279E2">
        <w:rPr>
          <w:rFonts w:ascii="Times New Roman" w:hAnsi="Times New Roman"/>
          <w:color w:val="auto"/>
          <w:lang w:val="it-IT"/>
        </w:rPr>
        <w:t>” sono inserite le seguenti “</w:t>
      </w:r>
      <w:r w:rsidRPr="002279E2">
        <w:rPr>
          <w:rFonts w:ascii="Times New Roman" w:hAnsi="Times New Roman"/>
          <w:i/>
          <w:iCs/>
          <w:color w:val="auto"/>
          <w:lang w:val="it-IT"/>
        </w:rPr>
        <w:t>inclusi gli oneri fiscali,</w:t>
      </w:r>
      <w:r w:rsidRPr="002279E2">
        <w:rPr>
          <w:rFonts w:ascii="Times New Roman" w:hAnsi="Times New Roman"/>
          <w:color w:val="auto"/>
          <w:lang w:val="it-IT"/>
        </w:rPr>
        <w:t>”;</w:t>
      </w:r>
    </w:p>
    <w:p w:rsidR="00F049F4" w:rsidRPr="002279E2" w:rsidRDefault="00F049F4" w:rsidP="00826FD7">
      <w:pPr>
        <w:pStyle w:val="Paragrafoelenco"/>
        <w:numPr>
          <w:ilvl w:val="0"/>
          <w:numId w:val="30"/>
        </w:numPr>
        <w:spacing w:after="0" w:line="240" w:lineRule="auto"/>
        <w:ind w:left="567" w:hanging="284"/>
        <w:rPr>
          <w:rFonts w:ascii="Times New Roman" w:hAnsi="Times New Roman"/>
          <w:color w:val="auto"/>
          <w:lang w:val="it-IT"/>
        </w:rPr>
      </w:pPr>
      <w:r w:rsidRPr="002279E2">
        <w:rPr>
          <w:rFonts w:ascii="Times New Roman" w:hAnsi="Times New Roman"/>
          <w:color w:val="auto"/>
          <w:lang w:val="it-IT"/>
        </w:rPr>
        <w:t>al comma 500 dopo le parole “</w:t>
      </w:r>
      <w:r w:rsidRPr="002279E2">
        <w:rPr>
          <w:rFonts w:ascii="Times New Roman" w:hAnsi="Times New Roman"/>
          <w:i/>
          <w:iCs/>
          <w:color w:val="auto"/>
          <w:lang w:val="it-IT"/>
        </w:rPr>
        <w:t>titoli di Stato con scadenza equivalente</w:t>
      </w:r>
      <w:r w:rsidRPr="002279E2">
        <w:rPr>
          <w:rFonts w:ascii="Times New Roman" w:hAnsi="Times New Roman"/>
          <w:color w:val="auto"/>
          <w:lang w:val="it-IT"/>
        </w:rPr>
        <w:t>” sono aggiunte le parole “</w:t>
      </w:r>
      <w:r w:rsidRPr="002279E2">
        <w:rPr>
          <w:rFonts w:ascii="Times New Roman" w:hAnsi="Times New Roman"/>
          <w:i/>
          <w:iCs/>
          <w:color w:val="auto"/>
          <w:lang w:val="it-IT"/>
        </w:rPr>
        <w:t>determinato ai sensi dei commi 3, 4, 5 dell’articolo 9 del decreto-legge 3 maggio 2016, n. 59, convertito dalla legge 30 giugno 2016, n. 119</w:t>
      </w:r>
      <w:r w:rsidRPr="002279E2">
        <w:rPr>
          <w:rFonts w:ascii="Times New Roman" w:hAnsi="Times New Roman"/>
          <w:color w:val="auto"/>
          <w:lang w:val="it-IT"/>
        </w:rPr>
        <w:t>”;</w:t>
      </w:r>
    </w:p>
    <w:p w:rsidR="00F049F4" w:rsidRPr="002279E2" w:rsidRDefault="00F049F4" w:rsidP="00826FD7">
      <w:pPr>
        <w:pStyle w:val="Paragrafoelenco"/>
        <w:numPr>
          <w:ilvl w:val="0"/>
          <w:numId w:val="30"/>
        </w:numPr>
        <w:spacing w:after="0" w:line="240" w:lineRule="auto"/>
        <w:ind w:left="567" w:hanging="284"/>
        <w:rPr>
          <w:rFonts w:ascii="Times New Roman" w:hAnsi="Times New Roman"/>
          <w:color w:val="auto"/>
          <w:lang w:val="it-IT"/>
        </w:rPr>
      </w:pPr>
      <w:r w:rsidRPr="002279E2">
        <w:rPr>
          <w:rFonts w:ascii="Times New Roman" w:hAnsi="Times New Roman"/>
          <w:color w:val="auto"/>
          <w:lang w:val="it-IT"/>
        </w:rPr>
        <w:t>al comma 501 i periodi secondo, terzo, quarto, quinto e sesto sono sostituiti dai seguenti:</w:t>
      </w:r>
      <w:r w:rsidRPr="002279E2">
        <w:rPr>
          <w:rFonts w:ascii="Times New Roman" w:hAnsi="Times New Roman"/>
          <w:b/>
          <w:bCs/>
          <w:color w:val="auto"/>
          <w:lang w:val="it-IT"/>
        </w:rPr>
        <w:t xml:space="preserve"> </w:t>
      </w:r>
    </w:p>
    <w:p w:rsidR="00F049F4" w:rsidRPr="002279E2" w:rsidRDefault="00F049F4" w:rsidP="00F049F4">
      <w:pPr>
        <w:pStyle w:val="Paragrafoelenco"/>
        <w:spacing w:line="240" w:lineRule="auto"/>
        <w:ind w:left="567"/>
        <w:rPr>
          <w:rFonts w:ascii="Times New Roman" w:hAnsi="Times New Roman"/>
          <w:i/>
          <w:iCs/>
          <w:color w:val="auto"/>
          <w:lang w:val="it-IT"/>
        </w:rPr>
      </w:pPr>
      <w:r w:rsidRPr="002279E2">
        <w:rPr>
          <w:rFonts w:ascii="Times New Roman" w:hAnsi="Times New Roman"/>
          <w:b/>
          <w:bCs/>
          <w:color w:val="auto"/>
          <w:lang w:val="it-IT"/>
        </w:rPr>
        <w:t>“</w:t>
      </w:r>
      <w:r w:rsidRPr="002279E2">
        <w:rPr>
          <w:rFonts w:ascii="Times New Roman" w:hAnsi="Times New Roman"/>
          <w:i/>
          <w:iCs/>
          <w:color w:val="auto"/>
          <w:lang w:val="it-IT"/>
        </w:rPr>
        <w:t>Con decreto del Ministro dell’economia e delle finanze sono definite le modalità di presentazione della domanda di indennizzo nonché i piani di riparto delle risorse disponibili. Con il medesimo decreto è istituita e disciplinata una Commissione tecnica per: l’esame e l’ammissione delle domande all’indennizzo del FIR; la verifica delle violazioni massive, nonché della sussistenza del nesso di causalità tra le medesime e il danno subito dai risparmiatori; l’erogazione dell’indennizzo da parte del FIR. Le suddette verifiche possono avvenire anche attraverso la preventiva tipizzazione delle violazioni massive e la corrispondente identificazione degli elementi oggettivi e/o soggettivi in presenza dei quali l’indennizzo può essere direttamente erogato. Il decreto indica i tempi delle procedure di definizione delle istanze presentate entro il termine di cui al penultimo periodo e, in modo non tassativo, le fattispecie di violazioni massive. Il suddetto procedimento non si applica ai casi di cui al comma 502-bis. La citata Commissione è composta da nove membri in possesso di idonei requisiti di competenza, indipendenza, onorabilità e probità.</w:t>
      </w:r>
      <w:r w:rsidRPr="002279E2">
        <w:rPr>
          <w:rFonts w:ascii="Times New Roman" w:hAnsi="Times New Roman"/>
          <w:b/>
          <w:bCs/>
          <w:color w:val="auto"/>
          <w:lang w:val="it-IT"/>
        </w:rPr>
        <w:t xml:space="preserve"> </w:t>
      </w:r>
      <w:r w:rsidRPr="002279E2">
        <w:rPr>
          <w:rFonts w:ascii="Times New Roman" w:hAnsi="Times New Roman"/>
          <w:i/>
          <w:iCs/>
          <w:color w:val="auto"/>
          <w:lang w:val="it-IT"/>
        </w:rPr>
        <w:t>Con successivo decreto del Ministro dell’economia e delle finanze sono nominati i componenti della Commissione tecnica e determinati gli emolumenti da attribuire ai medesimi, nel limite massimo di 1,2 milioni di euro per ciascuno degli anni 2019, 2020 e 2021. Ai relativi oneri si provvede mediante la corrispondente riduzione della dotazione del FIR. Qualora l’importo dei compensi da attribuire ai componenti della Commissione tecnica risulti inferiore al predetto limite massimo, con decreto del Ministro dell’economia e delle finanze, l’importo eccedente confluisce nel FIR. Il Ministro dell’economia e delle finanze è autorizzato ad apportare le occorrenti variazioni di bilancio. La domanda di indennizzo, corredata di idonea documentazione attestante i requisiti di cui al comma 494, è inviata entro il termine di centottanta giorni decorrenti dalla data individuata con apposito decreto del Ministro dell’economia e delle finanze”;</w:t>
      </w:r>
    </w:p>
    <w:p w:rsidR="00F049F4" w:rsidRPr="002279E2" w:rsidRDefault="00F049F4" w:rsidP="00826FD7">
      <w:pPr>
        <w:pStyle w:val="Paragrafoelenco"/>
        <w:numPr>
          <w:ilvl w:val="0"/>
          <w:numId w:val="30"/>
        </w:numPr>
        <w:spacing w:after="0" w:line="240" w:lineRule="auto"/>
        <w:ind w:left="567" w:hanging="284"/>
        <w:rPr>
          <w:rFonts w:ascii="Times New Roman" w:hAnsi="Times New Roman"/>
          <w:color w:val="auto"/>
          <w:lang w:val="it-IT"/>
        </w:rPr>
      </w:pPr>
      <w:r w:rsidRPr="002279E2">
        <w:rPr>
          <w:rFonts w:ascii="Times New Roman" w:hAnsi="Times New Roman"/>
          <w:color w:val="auto"/>
          <w:lang w:val="it-IT"/>
        </w:rPr>
        <w:t>Dopo il comma 501 è aggiunto il seguente comma:</w:t>
      </w:r>
    </w:p>
    <w:p w:rsidR="00F049F4" w:rsidRPr="002279E2" w:rsidRDefault="00F049F4" w:rsidP="00F049F4">
      <w:pPr>
        <w:pStyle w:val="Paragrafoelenco"/>
        <w:spacing w:line="240" w:lineRule="auto"/>
        <w:ind w:left="567"/>
        <w:rPr>
          <w:rFonts w:ascii="Times New Roman" w:hAnsi="Times New Roman"/>
          <w:color w:val="auto"/>
          <w:lang w:val="it-IT"/>
        </w:rPr>
      </w:pPr>
      <w:r w:rsidRPr="002279E2">
        <w:rPr>
          <w:rFonts w:ascii="Times New Roman" w:hAnsi="Times New Roman"/>
          <w:color w:val="auto"/>
          <w:lang w:val="it-IT"/>
        </w:rPr>
        <w:t>“</w:t>
      </w:r>
      <w:r w:rsidRPr="002279E2">
        <w:rPr>
          <w:rFonts w:ascii="Times New Roman" w:hAnsi="Times New Roman"/>
          <w:i/>
          <w:iCs/>
          <w:color w:val="auto"/>
          <w:lang w:val="it-IT"/>
        </w:rPr>
        <w:t>501-</w:t>
      </w:r>
      <w:r w:rsidRPr="002279E2">
        <w:rPr>
          <w:rFonts w:ascii="Times New Roman" w:hAnsi="Times New Roman"/>
          <w:color w:val="auto"/>
          <w:lang w:val="it-IT"/>
        </w:rPr>
        <w:t>bis.</w:t>
      </w:r>
      <w:r w:rsidRPr="002279E2">
        <w:rPr>
          <w:rFonts w:ascii="Times New Roman" w:hAnsi="Times New Roman"/>
          <w:i/>
          <w:iCs/>
          <w:color w:val="auto"/>
          <w:lang w:val="it-IT"/>
        </w:rPr>
        <w:t xml:space="preserve"> Le attività di supporto per l’espletamento delle funzioni della Commissione tecnica di </w:t>
      </w:r>
      <w:r w:rsidR="006F6547" w:rsidRPr="002279E2">
        <w:rPr>
          <w:rFonts w:ascii="Times New Roman" w:hAnsi="Times New Roman"/>
          <w:i/>
          <w:iCs/>
          <w:color w:val="auto"/>
          <w:lang w:val="it-IT"/>
        </w:rPr>
        <w:t>cui al comma 501 sono</w:t>
      </w:r>
      <w:r w:rsidRPr="002279E2">
        <w:rPr>
          <w:rFonts w:ascii="Times New Roman" w:hAnsi="Times New Roman"/>
          <w:i/>
          <w:iCs/>
          <w:color w:val="auto"/>
          <w:lang w:val="it-IT"/>
        </w:rPr>
        <w:t xml:space="preserve"> affidate dal Ministero dell’economia e delle finanze,</w:t>
      </w:r>
      <w:r w:rsidRPr="002279E2">
        <w:rPr>
          <w:rFonts w:ascii="Times New Roman" w:hAnsi="Times New Roman"/>
          <w:color w:val="auto"/>
          <w:lang w:val="it-IT"/>
        </w:rPr>
        <w:t xml:space="preserve"> </w:t>
      </w:r>
      <w:r w:rsidRPr="002279E2">
        <w:rPr>
          <w:rFonts w:ascii="Times New Roman" w:hAnsi="Times New Roman"/>
          <w:i/>
          <w:iCs/>
          <w:color w:val="auto"/>
          <w:lang w:val="it-IT"/>
        </w:rPr>
        <w:t>nel rispetto dei principi comunitari e nazionali conferenti, a società a capitale interamente pubblico, su cui l'amministrazione dello Stato esercita un controllo analogo a quello esercitato su propri servizi e che svolge la propria attività quasi esclusivamente nei confronti della predetta amministrazione.  Gli oneri e le spese relative alle predette attività sono a carico delle risorse finanziarie del FIR non oltre il limite massimo di 12,5 milioni di euro”;</w:t>
      </w:r>
    </w:p>
    <w:p w:rsidR="00F049F4" w:rsidRPr="002279E2" w:rsidRDefault="00F049F4" w:rsidP="00826FD7">
      <w:pPr>
        <w:pStyle w:val="Paragrafoelenco"/>
        <w:numPr>
          <w:ilvl w:val="0"/>
          <w:numId w:val="30"/>
        </w:numPr>
        <w:spacing w:after="0" w:line="240" w:lineRule="auto"/>
        <w:ind w:left="567"/>
        <w:rPr>
          <w:rFonts w:ascii="Times New Roman" w:hAnsi="Times New Roman"/>
          <w:color w:val="auto"/>
          <w:lang w:val="it-IT"/>
        </w:rPr>
      </w:pPr>
      <w:r w:rsidRPr="002279E2">
        <w:rPr>
          <w:rFonts w:ascii="Times New Roman" w:hAnsi="Times New Roman"/>
          <w:color w:val="auto"/>
          <w:lang w:val="it-IT"/>
        </w:rPr>
        <w:t>Il comma 502 è sostituito dal seguente:</w:t>
      </w:r>
    </w:p>
    <w:p w:rsidR="00F049F4" w:rsidRPr="002279E2" w:rsidRDefault="00F049F4" w:rsidP="00F049F4">
      <w:pPr>
        <w:pStyle w:val="Paragrafoelenco"/>
        <w:spacing w:line="240" w:lineRule="auto"/>
        <w:ind w:left="567"/>
        <w:rPr>
          <w:rFonts w:ascii="Times New Roman" w:hAnsi="Times New Roman"/>
          <w:i/>
          <w:iCs/>
          <w:color w:val="auto"/>
          <w:lang w:val="it-IT"/>
        </w:rPr>
      </w:pPr>
      <w:r w:rsidRPr="002279E2">
        <w:rPr>
          <w:rFonts w:ascii="Times New Roman" w:hAnsi="Times New Roman"/>
          <w:i/>
          <w:iCs/>
          <w:color w:val="auto"/>
          <w:lang w:val="it-IT"/>
        </w:rPr>
        <w:t>“502. I risparmiatori di cui al comma 502-</w:t>
      </w:r>
      <w:r w:rsidRPr="002279E2">
        <w:rPr>
          <w:rFonts w:ascii="Times New Roman" w:hAnsi="Times New Roman"/>
          <w:color w:val="auto"/>
          <w:lang w:val="it-IT"/>
        </w:rPr>
        <w:t xml:space="preserve">bis </w:t>
      </w:r>
      <w:r w:rsidRPr="002279E2">
        <w:rPr>
          <w:rFonts w:ascii="Times New Roman" w:hAnsi="Times New Roman"/>
          <w:i/>
          <w:iCs/>
          <w:color w:val="auto"/>
          <w:lang w:val="it-IT"/>
        </w:rPr>
        <w:t>sono soddisfatti con priorità a valere sulla dotazione del FIR.”</w:t>
      </w:r>
    </w:p>
    <w:p w:rsidR="00F049F4" w:rsidRPr="002279E2" w:rsidRDefault="00F049F4" w:rsidP="00826FD7">
      <w:pPr>
        <w:pStyle w:val="Paragrafoelenco"/>
        <w:numPr>
          <w:ilvl w:val="0"/>
          <w:numId w:val="30"/>
        </w:numPr>
        <w:spacing w:after="0" w:line="240" w:lineRule="auto"/>
        <w:ind w:left="567"/>
        <w:rPr>
          <w:rFonts w:ascii="Times New Roman" w:hAnsi="Times New Roman"/>
          <w:color w:val="auto"/>
          <w:lang w:val="it-IT"/>
        </w:rPr>
      </w:pPr>
      <w:r w:rsidRPr="002279E2">
        <w:rPr>
          <w:rFonts w:ascii="Times New Roman" w:hAnsi="Times New Roman"/>
          <w:color w:val="auto"/>
          <w:lang w:val="it-IT"/>
        </w:rPr>
        <w:t>Dopo il comma 502, è aggiunto il seguente comma:</w:t>
      </w:r>
    </w:p>
    <w:p w:rsidR="00F049F4" w:rsidRPr="002279E2" w:rsidRDefault="00F049F4" w:rsidP="00F049F4">
      <w:pPr>
        <w:ind w:left="567"/>
        <w:rPr>
          <w:i/>
          <w:iCs/>
          <w:color w:val="auto"/>
        </w:rPr>
      </w:pPr>
      <w:r w:rsidRPr="002279E2">
        <w:rPr>
          <w:i/>
          <w:iCs/>
          <w:color w:val="auto"/>
        </w:rPr>
        <w:t>“502-</w:t>
      </w:r>
      <w:r w:rsidRPr="002279E2">
        <w:rPr>
          <w:color w:val="auto"/>
        </w:rPr>
        <w:t>bis</w:t>
      </w:r>
      <w:r w:rsidRPr="002279E2">
        <w:rPr>
          <w:i/>
          <w:iCs/>
          <w:color w:val="auto"/>
        </w:rPr>
        <w:t xml:space="preserve">. Previo accertamento da parte della Commissione tecnica di cui al comma 501 esclusivamente dei requisiti soggettivi e oggettivi previsti nel presente comma, hanno diritto all’erogazione da parte del FIR di un indennizzo forfettario dell’ammontare determinato ai sensi dei precedenti commi 496 e 497 i risparmiatori persone fisiche, imprenditori individuali, anche agricoli, coltivatori diretti, in possesso delle azioni e delle obbligazioni subordinate delle banche di cui al comma 493 alla data del provvedimento di messa in liquidazione coatta amministrativa - ovvero i loro successori </w:t>
      </w:r>
      <w:r w:rsidRPr="002279E2">
        <w:rPr>
          <w:color w:val="auto"/>
        </w:rPr>
        <w:t>mortis causa</w:t>
      </w:r>
      <w:r w:rsidRPr="002279E2">
        <w:rPr>
          <w:i/>
          <w:iCs/>
          <w:color w:val="auto"/>
        </w:rPr>
        <w:t xml:space="preserve"> o il coniuge, il soggetto legato da unione civile, il convivente more uxorio o di fatto, i parenti entro il secondo grado in possesso dei suddetti strumenti finanziari a seguito di trasferimento con atto tra vivi - che soddisfano una delle seguenti condizioni: a) patrimonio mobiliare di proprietà del risparmiatore di valore inferiore a 100.000 euro; b) ammontare del reddito complessivo del risparmiatore ai fini dell’imposta sul reddito delle persone fisiche inferiore a 35.000 euro nell’anno 2018. Il valore del patrimonio mobiliare di cui alla suddetta lettera a) risulta dal patrimonio mobiliare posseduto al 31 dicembre 2018, esclusi gli strumenti finanziari di cui al comma 494, calcolato secondo i criteri e le istruzioni approvati con decreto del Ministero del lavoro e delle politiche sociali, Direzione generale per l’inclusione e le politiche sociali, di concerto con il Ministero dell’economia e delle finanze, Dipartimento delle finanze</w:t>
      </w:r>
      <w:r w:rsidRPr="002279E2">
        <w:rPr>
          <w:color w:val="auto"/>
        </w:rPr>
        <w:t xml:space="preserve"> </w:t>
      </w:r>
      <w:r w:rsidRPr="002279E2">
        <w:rPr>
          <w:i/>
          <w:iCs/>
          <w:color w:val="auto"/>
        </w:rPr>
        <w:t>del 13 aprile 2017, n. 138, recante approvazione del modello tipo di dichiarazione sostitutiva unica (DSU), nonché delle relative istruzioni per la compilazione, ai sensi dell’articolo 10, comma 3, del decreto del Presidente del Consiglio dei ministri del 5 dicembre 2013, n. 159. Con il decreto del Ministro dell’economia e delle finanze previsto dal precedente comma 501 sono stabilite le modalità di presentazione dell’istanza di erogazione del menzionato indennizzo forfettario”.</w:t>
      </w:r>
    </w:p>
    <w:p w:rsidR="002F5637" w:rsidRDefault="002F5637" w:rsidP="007F4AAA">
      <w:pPr>
        <w:rPr>
          <w:lang w:eastAsia="it-IT"/>
        </w:rPr>
      </w:pPr>
    </w:p>
    <w:p w:rsidR="00B949A0" w:rsidRPr="00D062EA" w:rsidRDefault="00B949A0" w:rsidP="00B949A0">
      <w:pPr>
        <w:jc w:val="center"/>
        <w:rPr>
          <w:b/>
          <w:szCs w:val="24"/>
        </w:rPr>
      </w:pPr>
      <w:r w:rsidRPr="00D062EA">
        <w:rPr>
          <w:b/>
          <w:szCs w:val="24"/>
        </w:rPr>
        <w:t xml:space="preserve">Relazione illustrativa </w:t>
      </w:r>
    </w:p>
    <w:p w:rsidR="00A436C3" w:rsidRPr="00584501" w:rsidRDefault="00A436C3" w:rsidP="00A436C3">
      <w:pPr>
        <w:rPr>
          <w:rFonts w:cs="Times New Roman"/>
          <w:szCs w:val="24"/>
        </w:rPr>
      </w:pPr>
      <w:r w:rsidRPr="00584501">
        <w:rPr>
          <w:rFonts w:cs="Times New Roman"/>
          <w:szCs w:val="24"/>
        </w:rPr>
        <w:t>La disposizione in esame</w:t>
      </w:r>
      <w:r w:rsidR="000503E2">
        <w:rPr>
          <w:rFonts w:cs="Times New Roman"/>
          <w:szCs w:val="24"/>
        </w:rPr>
        <w:t>, al comma 1,</w:t>
      </w:r>
      <w:r w:rsidRPr="00584501">
        <w:rPr>
          <w:rFonts w:cs="Times New Roman"/>
          <w:szCs w:val="24"/>
        </w:rPr>
        <w:t xml:space="preserve"> è finalizzata ad estendere al 31 dicembre 2020 il termine entro il quale le banche popolari con attivo superiore a 8 miliardi di euro sono tenute a trasformarsi in società per azioni.</w:t>
      </w:r>
    </w:p>
    <w:p w:rsidR="00A436C3" w:rsidRPr="00584501" w:rsidRDefault="00A436C3" w:rsidP="00A436C3">
      <w:pPr>
        <w:rPr>
          <w:rFonts w:cs="Times New Roman"/>
          <w:szCs w:val="24"/>
        </w:rPr>
      </w:pPr>
      <w:r w:rsidRPr="00584501">
        <w:rPr>
          <w:rFonts w:cs="Times New Roman"/>
          <w:szCs w:val="24"/>
        </w:rPr>
        <w:t>Le ragioni della disposizione sembrano doversi rinvenire nella pendenza del rinvio pregiudiziale avanti la Corte di Giustizia, sollevato dal Consiglio di Stato, relativo ad alcune specifici aspetti della disciplina sul rimborso della quota del socio di banca popolare che eserciti il diritto di recesso, previsto, tra l’altro, nel caso della trasformazione di una banca popolare.</w:t>
      </w:r>
    </w:p>
    <w:p w:rsidR="00A436C3" w:rsidRPr="00584501" w:rsidRDefault="00A436C3" w:rsidP="00A436C3">
      <w:pPr>
        <w:rPr>
          <w:rFonts w:cs="Times New Roman"/>
          <w:szCs w:val="24"/>
        </w:rPr>
      </w:pPr>
      <w:r w:rsidRPr="00584501">
        <w:rPr>
          <w:rFonts w:cs="Times New Roman"/>
          <w:szCs w:val="24"/>
        </w:rPr>
        <w:t>Si teme, evidentemente, che la decisione della Corte di Giustizia non sia emanata entro dicembre 2019 e l’eventuale conseguente stato di incertezza.</w:t>
      </w:r>
    </w:p>
    <w:p w:rsidR="00B949A0" w:rsidRPr="00D062EA" w:rsidRDefault="00B949A0" w:rsidP="00B949A0">
      <w:pPr>
        <w:autoSpaceDE w:val="0"/>
        <w:autoSpaceDN w:val="0"/>
        <w:spacing w:before="120"/>
        <w:contextualSpacing/>
        <w:rPr>
          <w:szCs w:val="24"/>
        </w:rPr>
      </w:pPr>
      <w:r w:rsidRPr="00D062EA">
        <w:rPr>
          <w:szCs w:val="24"/>
        </w:rPr>
        <w:t xml:space="preserve">Il Fondo indennizzo risparmiatori (FIR) è stato istituito dall’articolo 1, comma 493, legge 30 dicembre 2018, n. 145 per erogare indennizzi a favore dei risparmiatori ingiustamente danneggiati dalle banche e loro controllate aventi sede legale in Italia, poste in liquidazione coatta amministrativa dopo il 16 novembre 2015 e prima del 1° gennaio 2018, a causa delle violazioni massive degli obblighi di informazione, diligenza, correttezza, buona fede oggettiva e trasparenza, ai sensi del decreto legislativo 24 febbraio 1998, n. 58 (testo unico in materia di intermediazione finanziaria TUF). Per esigenze operative e di certezza giuridica è emersa l’esigenza di integrare la disciplina dei seguenti profili di detta normativa.  </w:t>
      </w:r>
    </w:p>
    <w:p w:rsidR="00B949A0" w:rsidRPr="00D062EA" w:rsidRDefault="00B949A0" w:rsidP="00B949A0">
      <w:pPr>
        <w:autoSpaceDE w:val="0"/>
        <w:autoSpaceDN w:val="0"/>
        <w:spacing w:before="120"/>
        <w:contextualSpacing/>
        <w:rPr>
          <w:szCs w:val="24"/>
        </w:rPr>
      </w:pPr>
      <w:r w:rsidRPr="00D062EA">
        <w:rPr>
          <w:szCs w:val="24"/>
        </w:rPr>
        <w:t xml:space="preserve">Nell’ambito dei risparmiatori ammessi alle prestazioni del FIR, le modifiche proposte al comma 494 chiariscono che tra questi sono inclusi i successori </w:t>
      </w:r>
      <w:r w:rsidRPr="00D062EA">
        <w:rPr>
          <w:i/>
          <w:szCs w:val="24"/>
        </w:rPr>
        <w:t xml:space="preserve">mortis causa </w:t>
      </w:r>
      <w:r w:rsidRPr="00D062EA">
        <w:rPr>
          <w:szCs w:val="24"/>
        </w:rPr>
        <w:t>dei risparmiatori</w:t>
      </w:r>
      <w:r w:rsidRPr="00D062EA">
        <w:rPr>
          <w:i/>
          <w:szCs w:val="24"/>
        </w:rPr>
        <w:t xml:space="preserve"> </w:t>
      </w:r>
      <w:r w:rsidRPr="00D062EA">
        <w:rPr>
          <w:szCs w:val="24"/>
        </w:rPr>
        <w:t>ed i loro familiari quali il coniuge, il soggetto legato da unione civile, il convivente more uxorio o di fatto, i parenti entro il secondo grado, in possesso di strumenti finanziari delle predette banche a seguito di trasferimento per atto tra vivi. L’inclusione dei soli familiari in questo ambito è coerente con il carattere personale dell’indennizzo, ed è volta a evitare il rischio di condotte predatorie od operazioni speculative, a danno dei risparmiatori cedenti, da parte di soggetti terzi potenziali “aventi causa” dai risparmiatori.</w:t>
      </w:r>
    </w:p>
    <w:p w:rsidR="00B949A0" w:rsidRPr="00D062EA" w:rsidRDefault="00B949A0" w:rsidP="00B949A0">
      <w:pPr>
        <w:autoSpaceDE w:val="0"/>
        <w:autoSpaceDN w:val="0"/>
        <w:spacing w:before="120"/>
        <w:contextualSpacing/>
        <w:rPr>
          <w:szCs w:val="24"/>
        </w:rPr>
      </w:pPr>
      <w:r w:rsidRPr="00D062EA">
        <w:rPr>
          <w:szCs w:val="24"/>
        </w:rPr>
        <w:t>Per l’indennizzo agli azionisti il comma 496 precisa che nella misura, commisurata al 30 per cento del costo di acquisto, sono inclusi gli oneri fiscali.</w:t>
      </w:r>
    </w:p>
    <w:p w:rsidR="00B949A0" w:rsidRPr="00D062EA" w:rsidRDefault="00B949A0" w:rsidP="00B949A0">
      <w:pPr>
        <w:autoSpaceDE w:val="0"/>
        <w:autoSpaceDN w:val="0"/>
        <w:spacing w:before="120"/>
        <w:contextualSpacing/>
        <w:rPr>
          <w:szCs w:val="24"/>
        </w:rPr>
      </w:pPr>
      <w:r w:rsidRPr="00D062EA">
        <w:rPr>
          <w:szCs w:val="24"/>
        </w:rPr>
        <w:t>Medesima inclusione è prevista al comma 497 per la misura dell’indennizzo destinato agli obbligazionisti subordinati commisurata al 95 per cento del costo di acquisto.</w:t>
      </w:r>
    </w:p>
    <w:p w:rsidR="00B949A0" w:rsidRPr="00D062EA" w:rsidRDefault="00B949A0" w:rsidP="00B949A0">
      <w:pPr>
        <w:autoSpaceDE w:val="0"/>
        <w:autoSpaceDN w:val="0"/>
        <w:spacing w:before="120"/>
        <w:contextualSpacing/>
        <w:rPr>
          <w:szCs w:val="24"/>
        </w:rPr>
      </w:pPr>
      <w:r w:rsidRPr="00D062EA">
        <w:rPr>
          <w:szCs w:val="24"/>
        </w:rPr>
        <w:t>Il vigente comma 500, nel ribadire che l’indennizzo è corrisposto agli obbligazionisti subordinati al netto del differenziale tasso di rendimento delle cedole percepite rispetto ai titoli di Stato con scadenza equivalente, precisa le modalità e i criteri di determinazione di tale differenziale di rendimento.</w:t>
      </w:r>
    </w:p>
    <w:p w:rsidR="00B949A0" w:rsidRPr="00D062EA" w:rsidRDefault="00B949A0" w:rsidP="00B949A0">
      <w:pPr>
        <w:autoSpaceDE w:val="0"/>
        <w:autoSpaceDN w:val="0"/>
        <w:spacing w:before="120"/>
        <w:contextualSpacing/>
        <w:rPr>
          <w:szCs w:val="24"/>
        </w:rPr>
      </w:pPr>
      <w:r w:rsidRPr="00D062EA">
        <w:rPr>
          <w:szCs w:val="24"/>
        </w:rPr>
        <w:t xml:space="preserve">Per l’esame e l’ammissione delle domande all’indennizzo del FIR, la modifica del comma 501 integra la disciplina vigente per consentire una verifica spedita da parte di detto organo collegiale, anche attraverso la tipizzazione delle violazioni massive e dei criteri di verifica dei requisiti di accesso al FIR. Il decreto istitutivo della Commissione tecnica dovrà indicare i tempi delle procedure di definizione delle istanze e in modo non tassativo le fattispecie di violazioni massive. L’integrazione del comma specifica altresì il requisito di indipendenza dei membri della Commissione tecnica e demanda ad un successivo Decreto del Ministro dell’economia e delle finanze la nomina dei suoi componenti assicurando che le somme non utilizzate per sostenere gli oneri delle attività della medesima siano reintegrate nel FIR. I termini di 180 giorni per la presentazione delle domande di indennizzo decorrono dalla data che verrà indicata in apposito Decreto ministeriale. </w:t>
      </w:r>
    </w:p>
    <w:p w:rsidR="00B949A0" w:rsidRPr="00D062EA" w:rsidRDefault="00B949A0" w:rsidP="00B949A0">
      <w:pPr>
        <w:autoSpaceDE w:val="0"/>
        <w:autoSpaceDN w:val="0"/>
        <w:spacing w:before="120"/>
        <w:contextualSpacing/>
        <w:rPr>
          <w:sz w:val="20"/>
        </w:rPr>
      </w:pPr>
      <w:r w:rsidRPr="00D062EA">
        <w:rPr>
          <w:szCs w:val="24"/>
        </w:rPr>
        <w:t>In ragione della necessità di approntare una struttura operativa adeguata alla trattazione di centinaia di migliaia di istanze di risparmiatori potenzialmente interessati, il comma 501-</w:t>
      </w:r>
      <w:r w:rsidRPr="00D062EA">
        <w:rPr>
          <w:i/>
          <w:szCs w:val="24"/>
        </w:rPr>
        <w:t>bis</w:t>
      </w:r>
      <w:r w:rsidRPr="00D062EA">
        <w:rPr>
          <w:szCs w:val="24"/>
        </w:rPr>
        <w:t xml:space="preserve"> affida le funzioni di segreteria tecnica della cennata Commissione a società con capitale interamente pubblico su cui le amministrazioni dello Stato esercitano un controllo analogo e che svolgono la propria attività quasi esclusivamente nei confronti delle predette amministrazioni.</w:t>
      </w:r>
      <w:r w:rsidRPr="00D062EA">
        <w:rPr>
          <w:sz w:val="20"/>
        </w:rPr>
        <w:t xml:space="preserve"> </w:t>
      </w:r>
    </w:p>
    <w:p w:rsidR="00B949A0" w:rsidRPr="00D062EA" w:rsidRDefault="00B949A0" w:rsidP="00B949A0">
      <w:pPr>
        <w:autoSpaceDE w:val="0"/>
        <w:autoSpaceDN w:val="0"/>
        <w:spacing w:before="120"/>
        <w:contextualSpacing/>
        <w:rPr>
          <w:szCs w:val="24"/>
        </w:rPr>
      </w:pPr>
      <w:r w:rsidRPr="00D062EA">
        <w:rPr>
          <w:szCs w:val="24"/>
        </w:rPr>
        <w:t>Al comma 502 viene confermata la priorità dei risparmiatori che si trovano in condizioni di rilevanza rispetto al criterio di vulnerabilità sociale, ma i relativi requisiti non verranno più accertati tramite documentazione ISEE bensì attraverso i criteri indicati nel comma successivo.</w:t>
      </w:r>
    </w:p>
    <w:p w:rsidR="00B949A0" w:rsidRPr="00D062EA" w:rsidRDefault="00B949A0" w:rsidP="00B949A0">
      <w:pPr>
        <w:autoSpaceDE w:val="0"/>
        <w:autoSpaceDN w:val="0"/>
        <w:spacing w:before="120"/>
        <w:contextualSpacing/>
        <w:rPr>
          <w:szCs w:val="24"/>
        </w:rPr>
      </w:pPr>
      <w:r w:rsidRPr="00D062EA">
        <w:rPr>
          <w:szCs w:val="24"/>
        </w:rPr>
        <w:t>Nel comma 502-bis sono esplicitate le modalità di erogazione dell’indennizzo forfettario riservato alle categorie di risparmiatori persone fisiche, imprenditori individuali, anche agricoli, coltivatori diretti, che si trovino al di sotto di determinate soglie reddituali o del patrimonio mobiliare. La disciplina si applica tanto ai risparmiatori in possesso di obbligazioni subordinate quanto a quelli in possesso di azioni; per i primi è previsto un indennizzo del 95% del costo di acquisto e per i secondi del 30% del medesimo valore. La situazione reddituale di ammontare inferiore a 35.000 euro ovvero il patrimonio mobiliare di valore inferiore a 100.000 euro, sono le due soglie alternative per l’accesso a detto indennizzo forfettario.</w:t>
      </w:r>
    </w:p>
    <w:p w:rsidR="00B949A0" w:rsidRPr="00D062EA" w:rsidRDefault="00B949A0" w:rsidP="00B949A0">
      <w:pPr>
        <w:rPr>
          <w:b/>
          <w:szCs w:val="24"/>
        </w:rPr>
      </w:pPr>
    </w:p>
    <w:p w:rsidR="00B949A0" w:rsidRPr="00D062EA" w:rsidRDefault="00B949A0" w:rsidP="00B949A0">
      <w:pPr>
        <w:jc w:val="center"/>
        <w:rPr>
          <w:b/>
          <w:szCs w:val="24"/>
        </w:rPr>
      </w:pPr>
      <w:r w:rsidRPr="00D062EA">
        <w:rPr>
          <w:b/>
          <w:szCs w:val="24"/>
        </w:rPr>
        <w:t>Relazione Tecnica.</w:t>
      </w:r>
    </w:p>
    <w:p w:rsidR="000503E2" w:rsidRPr="00584501" w:rsidRDefault="000503E2" w:rsidP="000503E2">
      <w:pPr>
        <w:rPr>
          <w:rFonts w:cs="Times New Roman"/>
          <w:szCs w:val="24"/>
        </w:rPr>
      </w:pPr>
      <w:r w:rsidRPr="00584501">
        <w:rPr>
          <w:rFonts w:cs="Times New Roman"/>
          <w:szCs w:val="24"/>
        </w:rPr>
        <w:t xml:space="preserve">La disposizione </w:t>
      </w:r>
      <w:r>
        <w:rPr>
          <w:rFonts w:cs="Times New Roman"/>
          <w:szCs w:val="24"/>
        </w:rPr>
        <w:t xml:space="preserve">di cui al comma 1 </w:t>
      </w:r>
      <w:r w:rsidRPr="00584501">
        <w:rPr>
          <w:rFonts w:cs="Times New Roman"/>
          <w:szCs w:val="24"/>
        </w:rPr>
        <w:t>è puramente ordinamentale e non ha impatti diretti a carico della finanza pubblica.</w:t>
      </w:r>
    </w:p>
    <w:p w:rsidR="00B949A0" w:rsidRPr="00D062EA" w:rsidRDefault="00B949A0" w:rsidP="00B949A0">
      <w:pPr>
        <w:rPr>
          <w:szCs w:val="24"/>
        </w:rPr>
      </w:pPr>
      <w:r w:rsidRPr="00D062EA">
        <w:rPr>
          <w:szCs w:val="24"/>
        </w:rPr>
        <w:t>Con riferimento al Fondo indennizzo risparmiatori (FIR), istituito dall’articolo 1, comma 493, legge 30 dicembre 2018, n. 145 per erogare indennizzi a favore dei risparmiatori ingiustamente danneggiati dalle banche poste in liquidazione coatta amministrativa dopo il 16 novembre 2015  e prima del 1° gennaio 2018, si rappresenta che le disposizioni integrative proposte non comportano nuovi o maggiori oneri a carico del Bilancio dello Stato, in quanto per i costi di gestione relativi alla Segreteria tecnica della Commissione tecnica sopra menzionata saranno utilizzate le disponibilità annuali del FIR previste dalla menzionata legge n. 145/2019.</w:t>
      </w:r>
    </w:p>
    <w:p w:rsidR="00B949A0" w:rsidRPr="002279E2" w:rsidRDefault="00B949A0" w:rsidP="007F4AAA">
      <w:pPr>
        <w:rPr>
          <w:lang w:eastAsia="it-IT"/>
        </w:rPr>
      </w:pPr>
    </w:p>
    <w:p w:rsidR="00325341" w:rsidRPr="002279E2" w:rsidRDefault="002F5637" w:rsidP="00B3524D">
      <w:pPr>
        <w:pStyle w:val="Titolo2"/>
        <w:rPr>
          <w:b w:val="0"/>
          <w:i w:val="0"/>
        </w:rPr>
      </w:pPr>
      <w:bookmarkStart w:id="72" w:name="_Toc6937368"/>
      <w:r w:rsidRPr="002279E2">
        <w:t>Articolo 3</w:t>
      </w:r>
      <w:r w:rsidR="00E97E40">
        <w:t>7</w:t>
      </w:r>
      <w:r w:rsidRPr="002279E2">
        <w:br/>
      </w:r>
      <w:r w:rsidRPr="002279E2">
        <w:rPr>
          <w:szCs w:val="24"/>
        </w:rPr>
        <w:t>(</w:t>
      </w:r>
      <w:r w:rsidR="00CF63A7" w:rsidRPr="002279E2">
        <w:t>Ingresso del Ministero dell’economia e delle finanze nel capitale sociale della NewCo Nuova Alitalia</w:t>
      </w:r>
      <w:r w:rsidRPr="002279E2">
        <w:rPr>
          <w:szCs w:val="24"/>
        </w:rPr>
        <w:t>)</w:t>
      </w:r>
      <w:bookmarkEnd w:id="72"/>
    </w:p>
    <w:p w:rsidR="00540E95" w:rsidRPr="002279E2" w:rsidRDefault="00540E95" w:rsidP="00540E95">
      <w:pPr>
        <w:rPr>
          <w:rFonts w:cs="Times New Roman"/>
        </w:rPr>
      </w:pPr>
      <w:r w:rsidRPr="002279E2">
        <w:rPr>
          <w:rFonts w:cs="Times New Roman"/>
        </w:rPr>
        <w:t xml:space="preserve">1. Al fine del rilancio del settore del trasporto aereo e per il rafforzamento del trasporto intermodale, il Ministero dell’economia e delle finanze è autorizzato a sottoscrivere, nel limite dell’importo maturato a titolo di interessi ai sensi del comma 3, quote di partecipazione al capitale della società di nuova costituzione cui saranno trasferiti i compendi aziendali oggetto delle procedure di cui all’articolo 50, comma 2, del decreto-legge 24 aprile 2017, n. 50, convertito, con modificazioni, dalla legge 21 giugno 2017, n. 96. I criteri e le modalità dell’operazione di cui al primo periodo sono determinati con decreto del Presidente del Consiglio dei Ministri su proposta del Ministro dell’economia e delle finanze, di natura non regolamentare e sottoposto alla registrazione della Corte dei Conti. A tal fine, il Ministero dell'economia e delle finanze è autorizzato ad avvalersi di primarie istituzioni finanziarie e legali a valere sulle risorse di cui al comma 4, nel limite di euro </w:t>
      </w:r>
      <w:r w:rsidR="000C1FC1">
        <w:rPr>
          <w:rFonts w:cs="Times New Roman"/>
        </w:rPr>
        <w:t>200.000,00.</w:t>
      </w:r>
    </w:p>
    <w:p w:rsidR="00540E95" w:rsidRPr="002279E2" w:rsidRDefault="00540E95" w:rsidP="00540E95">
      <w:pPr>
        <w:rPr>
          <w:rFonts w:cs="Times New Roman"/>
        </w:rPr>
      </w:pPr>
      <w:r w:rsidRPr="002279E2">
        <w:rPr>
          <w:rFonts w:cs="Times New Roman"/>
        </w:rPr>
        <w:t>2. Alla società di nuova costituzione di cui al presente articolo, partecipata dal Ministero dell’economia e delle finanze, non si applicano le disposizioni del decreto legislativo 19 agosto 2016, n. 175.</w:t>
      </w:r>
    </w:p>
    <w:p w:rsidR="00540E95" w:rsidRPr="002279E2" w:rsidRDefault="00540E95" w:rsidP="00540E95">
      <w:pPr>
        <w:rPr>
          <w:rFonts w:cs="Times New Roman"/>
        </w:rPr>
      </w:pPr>
      <w:r w:rsidRPr="002279E2">
        <w:rPr>
          <w:rFonts w:cs="Times New Roman"/>
        </w:rPr>
        <w:t>3. Alitalia – Società Aerea Italiana S.p.A. in amministrazione straordinaria corrisponde gli interessi maturati sul finanziamento a titolo oneroso - di cui all’articolo 50, comma 1, del decreto-legge 24 aprile 2017, n. 50, convertito, con modificazioni, dalla legge 21 giugno 2017, n. 96, come integrato ai sensi dell’articolo 12 del decreto-legge 16 ottobre 2017, n. 148, convertito, con modificazioni, dalla legge 4 dicembre 2017, n. 172, - dalla data di effettiva erogazione alla data del decreto del Ministro dello sviluppo economico di autorizzazione alla cessione dei complessi aziendali oggetto delle procedure e, comunque, sino a non oltre il 31 maggio 2019.</w:t>
      </w:r>
    </w:p>
    <w:p w:rsidR="00540E95" w:rsidRPr="002279E2" w:rsidRDefault="00540E95" w:rsidP="00540E95">
      <w:pPr>
        <w:rPr>
          <w:rFonts w:cs="Times New Roman"/>
        </w:rPr>
      </w:pPr>
      <w:r w:rsidRPr="002279E2">
        <w:rPr>
          <w:rFonts w:cs="Times New Roman"/>
        </w:rPr>
        <w:t>4</w:t>
      </w:r>
      <w:r w:rsidRPr="002279E2">
        <w:rPr>
          <w:rFonts w:cs="Times New Roman"/>
          <w:shd w:val="clear" w:color="auto" w:fill="FFFFFF"/>
        </w:rPr>
        <w:t>.</w:t>
      </w:r>
      <w:r w:rsidRPr="002279E2">
        <w:rPr>
          <w:rFonts w:ascii="Helvetica" w:hAnsi="Helvetica"/>
          <w:sz w:val="20"/>
          <w:szCs w:val="21"/>
          <w:shd w:val="clear" w:color="auto" w:fill="FFFFFF"/>
        </w:rPr>
        <w:t xml:space="preserve"> </w:t>
      </w:r>
      <w:r w:rsidRPr="002279E2">
        <w:rPr>
          <w:rFonts w:cs="Times New Roman"/>
        </w:rPr>
        <w:t>Gli interessi di cui al comma 3 sono versati all’entrata del bilancio dello Stato entro sessanta giorni dalla data del predetto decreto</w:t>
      </w:r>
      <w:r w:rsidRPr="002279E2">
        <w:t xml:space="preserve"> </w:t>
      </w:r>
      <w:r w:rsidRPr="002279E2">
        <w:rPr>
          <w:rFonts w:cs="Times New Roman"/>
        </w:rPr>
        <w:t>del Ministro dello sviluppo economico</w:t>
      </w:r>
      <w:r w:rsidRPr="002279E2" w:rsidDel="00533DD5">
        <w:rPr>
          <w:rFonts w:cs="Times New Roman"/>
        </w:rPr>
        <w:t xml:space="preserve"> </w:t>
      </w:r>
      <w:r w:rsidRPr="002279E2">
        <w:rPr>
          <w:rFonts w:cs="Times New Roman"/>
        </w:rPr>
        <w:t>per essere riassegnati ad uno o più capitoli dello stato di previsione della spesa del Ministero dell’Economia e delle Finanze per le finalità di cui al comma 1.</w:t>
      </w:r>
    </w:p>
    <w:p w:rsidR="00540E95" w:rsidRPr="002279E2" w:rsidRDefault="00540E95" w:rsidP="00540E95">
      <w:pPr>
        <w:rPr>
          <w:rFonts w:cs="Times New Roman"/>
        </w:rPr>
      </w:pPr>
      <w:r w:rsidRPr="002279E2">
        <w:rPr>
          <w:rFonts w:cs="Times New Roman"/>
        </w:rPr>
        <w:t>5. All’articolo 50, comma 1, del decreto-legge 24 aprile 2017, n. 50, convertito, con modificazioni, dalla legge 21 giugno 2017, n. 96, le parole al terzo periodo “</w:t>
      </w:r>
      <w:r w:rsidRPr="002279E2">
        <w:rPr>
          <w:rFonts w:cs="Times New Roman"/>
          <w:i/>
        </w:rPr>
        <w:t>,ed è restituito entro sei mesi dall’erogazione in prededuzione, con priorità rispetto a ogni altro debito della procedura</w:t>
      </w:r>
      <w:r w:rsidRPr="002279E2">
        <w:rPr>
          <w:rFonts w:cs="Times New Roman"/>
        </w:rPr>
        <w:t>” sono abrogate.</w:t>
      </w:r>
    </w:p>
    <w:p w:rsidR="00540E95" w:rsidRPr="002279E2" w:rsidRDefault="00540E95" w:rsidP="00540E95">
      <w:pPr>
        <w:rPr>
          <w:rFonts w:cs="Times New Roman"/>
        </w:rPr>
      </w:pPr>
      <w:r w:rsidRPr="002279E2">
        <w:rPr>
          <w:rFonts w:cs="Times New Roman"/>
        </w:rPr>
        <w:t>5-bis. All’articolo 2, comma 1, del decreto-legge 14 dicembre 2018, n. 135, convertito con modificazione con legge 11 febbraio 2019, n. 12, le parole “</w:t>
      </w:r>
      <w:r w:rsidRPr="002279E2">
        <w:rPr>
          <w:rFonts w:cs="Times New Roman"/>
          <w:i/>
        </w:rPr>
        <w:t xml:space="preserve"> entro trenta giorni dall'intervenuta efficacia della cessione dei complessi aziendali oggetto delle procedure di cui all'articolo 50, comma 2, del decreto-legge n. 50 del 2017 e, in ogni caso, non oltre il termine del 30 giugno 2019</w:t>
      </w:r>
      <w:r w:rsidRPr="002279E2">
        <w:rPr>
          <w:rFonts w:cs="Times New Roman"/>
        </w:rPr>
        <w:t>” sono sostituite con le seguenti: “</w:t>
      </w:r>
      <w:r w:rsidRPr="002279E2">
        <w:rPr>
          <w:rFonts w:cs="Times New Roman"/>
          <w:i/>
        </w:rPr>
        <w:t>, nell’ambito della procedura di ripartizione dell’attivo dell’amministrazione straordinaria a valere e nei limiti dell’attivo disponibile di Alitalia – Società Aerea Italiana S.p.A. in amministrazione straordinaria”</w:t>
      </w:r>
      <w:r w:rsidRPr="002279E2">
        <w:rPr>
          <w:rFonts w:cs="Times New Roman"/>
        </w:rPr>
        <w:t>.</w:t>
      </w:r>
    </w:p>
    <w:p w:rsidR="00540E95" w:rsidRPr="002279E2" w:rsidRDefault="00540E95" w:rsidP="00540E95">
      <w:pPr>
        <w:rPr>
          <w:rFonts w:cs="Times New Roman"/>
        </w:rPr>
      </w:pPr>
      <w:r w:rsidRPr="002279E2">
        <w:rPr>
          <w:rFonts w:cs="Times New Roman"/>
        </w:rPr>
        <w:t xml:space="preserve">5-ter. Agli oneri derivanti dai commi 5 e 5-bis, pari a 900 milioni di euro per l’anno 2019 in termini di solo fabbisogno, si provvede mediante versamento per un corrispondente importo, da effettuare entro il 31 dicembre 2019, delle somme gestite presso il sistema bancario dalla Cassa servizi energetici e ambientali a favore del conto corrente di tesoreria centrale di cui all'articolo 2, comma 2, del decreto-legge 9 giugno 2016, n. 98, convertito, con modificazioni, dalla legge 1° agosto 2016, n. 151. </w:t>
      </w:r>
      <w:r w:rsidRPr="002279E2">
        <w:rPr>
          <w:rFonts w:cs="Times New Roman"/>
          <w:color w:val="auto"/>
        </w:rPr>
        <w:t>Detta giacenza è mantenuta in deposito alla fine di ciascun anno a decorrere dal 2019 sul conto corrente di tesoreria di cui al primo periodo ed è</w:t>
      </w:r>
      <w:r w:rsidRPr="002279E2">
        <w:rPr>
          <w:rFonts w:cs="Times New Roman"/>
        </w:rPr>
        <w:t xml:space="preserve"> ridotta in misura corrispondente alla quota rimborsata del finanziamento di cui all’articolo 50, comma 1, del decreto-legge 24 aprile 2017, n. 50, convertito, con modificazioni, dalla legge 21 giugno 2017, n. 96.</w:t>
      </w:r>
    </w:p>
    <w:p w:rsidR="00540E95" w:rsidRPr="002279E2" w:rsidRDefault="00540E95" w:rsidP="00540E95">
      <w:pPr>
        <w:rPr>
          <w:rFonts w:cs="Times New Roman"/>
        </w:rPr>
      </w:pPr>
      <w:r w:rsidRPr="002279E2">
        <w:rPr>
          <w:rFonts w:cs="Times New Roman"/>
        </w:rPr>
        <w:t>6. Tutti gli atti e le operazioni posti in essere dal Ministero dell’economia e delle finanze per l’operazione di cui al presente articolo sono esenti da imposizione fiscale, diretta e indiretta e da tasse.</w:t>
      </w:r>
    </w:p>
    <w:p w:rsidR="00540E95" w:rsidRPr="002279E2" w:rsidRDefault="00540E95" w:rsidP="00540E95">
      <w:pPr>
        <w:rPr>
          <w:rFonts w:cs="Times New Roman"/>
          <w:i/>
        </w:rPr>
      </w:pPr>
      <w:r w:rsidRPr="002279E2">
        <w:rPr>
          <w:rFonts w:cs="Times New Roman"/>
          <w:i/>
        </w:rPr>
        <w:t>Per memoria (da aggiungere nell’ultimo articolo del DL, per tutto il decreto legge)</w:t>
      </w:r>
    </w:p>
    <w:p w:rsidR="00540E95" w:rsidRPr="002279E2" w:rsidRDefault="00540E95" w:rsidP="00540E95">
      <w:pPr>
        <w:rPr>
          <w:rFonts w:cs="Times New Roman"/>
        </w:rPr>
      </w:pPr>
      <w:r w:rsidRPr="002279E2">
        <w:rPr>
          <w:rFonts w:cs="Times New Roman"/>
        </w:rPr>
        <w:t>7. Ai fini dell'immediata attuazione delle disposizioni recate dal presente articolo, il Ministro dell'economia e delle finanze è autorizzato ad apportare, con propri decreti, le occorrenti variazioni di bilancio, anche in conto residui.</w:t>
      </w:r>
    </w:p>
    <w:p w:rsidR="00E448B6" w:rsidRPr="002279E2" w:rsidRDefault="00E448B6" w:rsidP="00540E95">
      <w:pPr>
        <w:rPr>
          <w:rFonts w:cs="Times New Roman"/>
        </w:rPr>
      </w:pPr>
    </w:p>
    <w:p w:rsidR="00E448B6" w:rsidRPr="00113DF9" w:rsidRDefault="00E448B6" w:rsidP="00113DF9">
      <w:pPr>
        <w:jc w:val="center"/>
        <w:rPr>
          <w:b/>
        </w:rPr>
      </w:pPr>
      <w:r w:rsidRPr="00113DF9">
        <w:rPr>
          <w:b/>
        </w:rPr>
        <w:t>Relazione illustrativa e tecnica</w:t>
      </w:r>
    </w:p>
    <w:p w:rsidR="00E448B6" w:rsidRPr="002279E2" w:rsidRDefault="00E448B6" w:rsidP="00E448B6">
      <w:r w:rsidRPr="002279E2">
        <w:rPr>
          <w:lang w:eastAsia="it-IT"/>
        </w:rPr>
        <w:t>La norma è volta a consentire l’eventuale i</w:t>
      </w:r>
      <w:r w:rsidRPr="002279E2">
        <w:t>ngresso del Ministero dell’economia e delle finanze nel capitale sociale della NewCo Nuova Alitalia.</w:t>
      </w:r>
    </w:p>
    <w:p w:rsidR="00E448B6" w:rsidRPr="002279E2" w:rsidRDefault="00E448B6" w:rsidP="00E448B6">
      <w:pPr>
        <w:rPr>
          <w:rFonts w:cs="Times New Roman"/>
        </w:rPr>
      </w:pPr>
      <w:r w:rsidRPr="002279E2">
        <w:t xml:space="preserve">Il comma 1 prevede che, </w:t>
      </w:r>
      <w:r w:rsidRPr="002279E2">
        <w:rPr>
          <w:rFonts w:cs="Times New Roman"/>
        </w:rPr>
        <w:t xml:space="preserve">al fine del rilancio del settore del trasporto aereo e per il rafforzamento del trasporto intermodale, il Ministero dell’economia e delle finanze è autorizzato in via preventiva a sottoscrivere – fino ad un tetto massimo - quote di partecipazione al capitale della società di nuova costituzione cui saranno trasferiti i compendi aziendali oggetto delle procedure di cui all’articolo 50, comma 2, del decreto-legge 24 aprile 2017, n. 50, convertito, con modificazioni, dalla legge 21 giugno 2017, n. 96. </w:t>
      </w:r>
    </w:p>
    <w:p w:rsidR="00E448B6" w:rsidRPr="002279E2" w:rsidRDefault="00E448B6" w:rsidP="00E448B6">
      <w:pPr>
        <w:rPr>
          <w:rFonts w:cs="Times New Roman"/>
        </w:rPr>
      </w:pPr>
      <w:r w:rsidRPr="002279E2">
        <w:rPr>
          <w:rFonts w:cs="Times New Roman"/>
        </w:rPr>
        <w:t>I criteri e le modalità operative dell’intervento sono definiti con successivo decreto del Presidente del Consiglio dei Ministri su proposta del Ministro dell’economia e delle finanze, di natura non regolamentare e sottoposto alla registrazione della Corte dei Conti. A tal fine, il Ministero dell'economia e delle finanze è autorizzato ad avvalersi di primarie istituzioni finanziarie e legali a valere sulle risorse di cui al comma 4, nel limite di euro ………. La copertura finanziaria del comma 1 è costituita dalle entrate che si prevede di realizzare ai sensi del comma 3 (interessi sul prestito), pari a 145 milioni di euro.</w:t>
      </w:r>
    </w:p>
    <w:p w:rsidR="00E448B6" w:rsidRPr="002279E2" w:rsidRDefault="00E448B6" w:rsidP="00E448B6">
      <w:pPr>
        <w:rPr>
          <w:rFonts w:cs="Times New Roman"/>
        </w:rPr>
      </w:pPr>
      <w:r w:rsidRPr="002279E2">
        <w:rPr>
          <w:rFonts w:cs="Times New Roman"/>
        </w:rPr>
        <w:t>Il comma 2 prevede che alla società di nuova costituzione di cui al presente articolo, partecipata dal Ministero dell’economia e delle finanze, non si applicano le disposizioni del decreto legislativo 19 agosto 2016, n. 175 (Testo unico in materia di società a partecipazione pubblica).</w:t>
      </w:r>
    </w:p>
    <w:p w:rsidR="00E448B6" w:rsidRPr="002279E2" w:rsidRDefault="00E448B6" w:rsidP="00E448B6">
      <w:pPr>
        <w:rPr>
          <w:rFonts w:cs="Times New Roman"/>
        </w:rPr>
      </w:pPr>
      <w:r w:rsidRPr="002279E2">
        <w:rPr>
          <w:rFonts w:cs="Times New Roman"/>
        </w:rPr>
        <w:t>Il comma 3 prevede i termini di maturazione e corresponsione, da parte di Alitalia – Società Aerea Italiana S.p.A. in amministrazione straordinaria, degli interessi sul finanziamento a titolo oneroso di cui all’articolo 50, comma 1, del decreto-legge 24 aprile 2017, n. 50, convertito, con modificazioni, dalla legge 21 giugno 2017, n. 96, come integrato ai sensi dell’articolo 12 del decreto-legge 16 ottobre 2017, n. 148, convertito, con modificazioni, dalla legge 4 dicembre 2017, n. 172. L’Amministrazione straordinaria è tenuta a corrispondere gli interessi sul prestito maturati dalla data di effettiva erogazione alla data del decreto del Ministro dello sviluppo economico di autorizzazione alla cessione dei complessi aziendali oggetto delle procedure e, comunque, sino a non oltre il 31 maggio 2019, stimati in 145 milioni di euro.</w:t>
      </w:r>
    </w:p>
    <w:p w:rsidR="00E448B6" w:rsidRPr="002279E2" w:rsidRDefault="00E448B6" w:rsidP="00E448B6">
      <w:pPr>
        <w:rPr>
          <w:rFonts w:cs="Times New Roman"/>
        </w:rPr>
      </w:pPr>
      <w:r w:rsidRPr="002279E2">
        <w:rPr>
          <w:rFonts w:cs="Times New Roman"/>
        </w:rPr>
        <w:t>Il comma 4 stabilisce che gli interessi di cui al comma 3 sono versati all’entrata del bilancio dello Stato entro sessanta giorni dalla data del predetto decreto</w:t>
      </w:r>
      <w:r w:rsidRPr="002279E2">
        <w:t xml:space="preserve"> </w:t>
      </w:r>
      <w:r w:rsidRPr="002279E2">
        <w:rPr>
          <w:rFonts w:cs="Times New Roman"/>
        </w:rPr>
        <w:t>del Ministro dello sviluppo economico</w:t>
      </w:r>
      <w:r w:rsidRPr="002279E2" w:rsidDel="00533DD5">
        <w:rPr>
          <w:rFonts w:cs="Times New Roman"/>
        </w:rPr>
        <w:t xml:space="preserve"> </w:t>
      </w:r>
      <w:r w:rsidRPr="002279E2">
        <w:rPr>
          <w:rFonts w:cs="Times New Roman"/>
        </w:rPr>
        <w:t xml:space="preserve">per essere riassegnati ad uno o più capitoli dello stato di previsione della spesa del Ministero dell’Economia e delle Finanze per le finalità di cui al comma 1. </w:t>
      </w:r>
    </w:p>
    <w:p w:rsidR="00E448B6" w:rsidRPr="002279E2" w:rsidRDefault="00E448B6" w:rsidP="00E448B6">
      <w:pPr>
        <w:rPr>
          <w:rFonts w:cs="Times New Roman"/>
        </w:rPr>
      </w:pPr>
      <w:r w:rsidRPr="002279E2">
        <w:rPr>
          <w:rFonts w:cs="Times New Roman"/>
        </w:rPr>
        <w:t>Il comma 5 interviene sulle modalità di rimborso del finanziamento di cui all’articolo 50, comma 1, del decreto-legge 24 aprile 2017, n. 50, convertito, con modificazioni, dalla legge 21 giugno 2017, n. 96, prevedendo l’abrogazione delle parole al terzo periodo “</w:t>
      </w:r>
      <w:r w:rsidRPr="002279E2">
        <w:rPr>
          <w:rFonts w:cs="Times New Roman"/>
          <w:i/>
        </w:rPr>
        <w:t>, ed è restituito entro sei mesi dall’erogazione in prededuzione, con priorità rispetto a ogni altro debito della procedura</w:t>
      </w:r>
      <w:r w:rsidRPr="002279E2">
        <w:rPr>
          <w:rFonts w:cs="Times New Roman"/>
        </w:rPr>
        <w:t>”.</w:t>
      </w:r>
    </w:p>
    <w:p w:rsidR="00E448B6" w:rsidRPr="002279E2" w:rsidRDefault="00E448B6" w:rsidP="00E448B6">
      <w:pPr>
        <w:rPr>
          <w:rFonts w:cs="Times New Roman"/>
        </w:rPr>
      </w:pPr>
      <w:r w:rsidRPr="002279E2">
        <w:rPr>
          <w:rFonts w:cs="Times New Roman"/>
        </w:rPr>
        <w:t>Il comma 5-bis interviene sulle modalità di restituzione del finanziamento modificando l’articolo 2, comma 1, del decreto-legge 14 dicembre 2018, n. 135, convertito con modificazione con legge 11 febbraio 2019, n. 12, sostituendo le parole “</w:t>
      </w:r>
      <w:r w:rsidRPr="002279E2">
        <w:rPr>
          <w:rFonts w:cs="Times New Roman"/>
          <w:i/>
        </w:rPr>
        <w:t xml:space="preserve"> entro trenta giorni dall'intervenuta efficacia della cessione dei complessi aziendali oggetto delle procedure di cui all'articolo 50, comma 2, del decreto-legge n. 50 del 2017 e, in ogni caso, non oltre il termine del 30 giugno 2019</w:t>
      </w:r>
      <w:r w:rsidRPr="002279E2">
        <w:rPr>
          <w:rFonts w:cs="Times New Roman"/>
        </w:rPr>
        <w:t>” con le seguenti: “</w:t>
      </w:r>
      <w:r w:rsidRPr="002279E2">
        <w:rPr>
          <w:rFonts w:cs="Times New Roman"/>
          <w:i/>
        </w:rPr>
        <w:t>, nell’ambito della procedura di ripartizione dell’attivo dell’amministrazione straordinaria a valere e nei limiti dell’attivo disponibile di Alitalia – Società Aerea Italiana S.p.A. in amministrazione straordinaria”</w:t>
      </w:r>
      <w:r w:rsidRPr="002279E2">
        <w:rPr>
          <w:rFonts w:cs="Times New Roman"/>
        </w:rPr>
        <w:t>. Per effetto dei commi 5 e 5 bis il credito erariale verrà pertanto soddisfatto nel quadro della procedura di riparto dell’attivo dell’Amministrazione straordinaria, a fronte di apposita istanza davanti al competente tribunale fallimentare di insinuazione del credito allo stato passivo di Alitalia in prededuzione.</w:t>
      </w:r>
    </w:p>
    <w:p w:rsidR="00E448B6" w:rsidRPr="002279E2" w:rsidRDefault="00E448B6" w:rsidP="00E448B6">
      <w:pPr>
        <w:rPr>
          <w:rFonts w:cs="Times New Roman"/>
        </w:rPr>
      </w:pPr>
      <w:r w:rsidRPr="002279E2">
        <w:rPr>
          <w:rFonts w:cs="Times New Roman"/>
        </w:rPr>
        <w:t>Il comma 5-ter stabilisce la copertura finanziaria dei commi 5 e 5-bis. Per detta copertura, pari a 900 milioni di euro per l’anno 2019 in termini di solo fabbisogno, si provvede mediante versamento per un corrispondente importo, da effettuare entro il 31 dicembre 2019, delle somme gestite presso il sistema bancario dalla Cassa servizi energetici e ambientali a favore del conto corrente di tesoreria centrale di cui all'articolo 2, comma 2, del decreto-legge 9 giugno 2016, n. 98, convertito, con modificazioni, dalla legge 1° agosto 2016, n. 151. La</w:t>
      </w:r>
      <w:r w:rsidRPr="002279E2">
        <w:rPr>
          <w:rFonts w:cs="Times New Roman"/>
          <w:color w:val="auto"/>
        </w:rPr>
        <w:t xml:space="preserve"> predetta giacenza è mantenuta in deposito alla fine di ciascun anno a decorrere dal 2019 sul conto corrente di tesoreria di cui al primo periodo ed è</w:t>
      </w:r>
      <w:r w:rsidRPr="002279E2">
        <w:rPr>
          <w:rFonts w:cs="Times New Roman"/>
        </w:rPr>
        <w:t xml:space="preserve"> ridotta in misura corrispondente alla quota rimborsata del finanziamento di cui all’articolo 50, comma 1, del decreto-legge 24 aprile 2017, n. 50, convertito, con modificazioni, dalla legge 21 giugno 2017, n. 96.</w:t>
      </w:r>
    </w:p>
    <w:p w:rsidR="00E448B6" w:rsidRPr="002279E2" w:rsidRDefault="00E448B6" w:rsidP="00E448B6">
      <w:pPr>
        <w:rPr>
          <w:rFonts w:cs="Times New Roman"/>
        </w:rPr>
      </w:pPr>
      <w:r w:rsidRPr="002279E2">
        <w:rPr>
          <w:rFonts w:cs="Times New Roman"/>
        </w:rPr>
        <w:t>Il comma 6 prevede che tutti gli atti e le operazioni posti in essere dal Ministero dell’economia e delle finanze per l’operazione di cui al presente articolo sono esenti da imposizione fiscale, diretta e indiretta e da tasse.</w:t>
      </w:r>
    </w:p>
    <w:p w:rsidR="00E448B6" w:rsidRPr="002279E2" w:rsidRDefault="00E448B6" w:rsidP="002F5637">
      <w:pPr>
        <w:rPr>
          <w:lang w:eastAsia="it-IT"/>
        </w:rPr>
      </w:pPr>
    </w:p>
    <w:p w:rsidR="002F5637" w:rsidRPr="002279E2" w:rsidRDefault="004B64DD" w:rsidP="00744CA0">
      <w:pPr>
        <w:pStyle w:val="Titolo2"/>
      </w:pPr>
      <w:bookmarkStart w:id="73" w:name="_Toc6937369"/>
      <w:r w:rsidRPr="000C1FC1">
        <w:rPr>
          <w:highlight w:val="yellow"/>
        </w:rPr>
        <w:t xml:space="preserve">Articolo </w:t>
      </w:r>
      <w:r w:rsidR="00FA105D" w:rsidRPr="000C1FC1">
        <w:rPr>
          <w:highlight w:val="yellow"/>
        </w:rPr>
        <w:t>3</w:t>
      </w:r>
      <w:r w:rsidR="00E97E40">
        <w:rPr>
          <w:highlight w:val="yellow"/>
        </w:rPr>
        <w:t>8</w:t>
      </w:r>
      <w:r w:rsidRPr="000C1FC1">
        <w:rPr>
          <w:highlight w:val="yellow"/>
        </w:rPr>
        <w:br/>
      </w:r>
      <w:r w:rsidR="00744CA0" w:rsidRPr="000C1FC1">
        <w:rPr>
          <w:highlight w:val="yellow"/>
        </w:rPr>
        <w:t>(Debiti enti locali</w:t>
      </w:r>
      <w:r w:rsidR="00F8087F" w:rsidRPr="000C1FC1">
        <w:rPr>
          <w:highlight w:val="yellow"/>
        </w:rPr>
        <w:t>)</w:t>
      </w:r>
      <w:bookmarkEnd w:id="73"/>
    </w:p>
    <w:p w:rsidR="004B64DD" w:rsidRPr="003F1967" w:rsidRDefault="004B64DD" w:rsidP="004B64DD">
      <w:pPr>
        <w:rPr>
          <w:rFonts w:cs="Times New Roman"/>
          <w:highlight w:val="yellow"/>
        </w:rPr>
      </w:pPr>
      <w:r w:rsidRPr="002279E2">
        <w:rPr>
          <w:rFonts w:cs="Times New Roman"/>
        </w:rPr>
        <w:t>1.</w:t>
      </w:r>
      <w:r w:rsidRPr="002279E2">
        <w:rPr>
          <w:rFonts w:cs="Times New Roman"/>
        </w:rPr>
        <w:tab/>
      </w:r>
      <w:r w:rsidRPr="003F1967">
        <w:rPr>
          <w:rFonts w:cs="Times New Roman"/>
          <w:highlight w:val="yellow"/>
        </w:rPr>
        <w:t xml:space="preserve">All’articolo 1 della legge 30 dicembre 2018, n. 145, dopo il comma 932 è inserito il seguente: </w:t>
      </w:r>
    </w:p>
    <w:p w:rsidR="004B64DD" w:rsidRPr="003F1967" w:rsidRDefault="004B64DD" w:rsidP="004B64DD">
      <w:pPr>
        <w:rPr>
          <w:rFonts w:cs="Times New Roman"/>
          <w:highlight w:val="yellow"/>
        </w:rPr>
      </w:pPr>
      <w:r w:rsidRPr="003F1967">
        <w:rPr>
          <w:rFonts w:cs="Times New Roman"/>
          <w:highlight w:val="yellow"/>
        </w:rPr>
        <w:t>“932-bis. A seguito della conclusione delle attività straordinarie della gestione commissariale di cui al comma 932:</w:t>
      </w:r>
    </w:p>
    <w:p w:rsidR="004B64DD" w:rsidRPr="003F1967" w:rsidRDefault="004B64DD" w:rsidP="004B64DD">
      <w:pPr>
        <w:rPr>
          <w:rFonts w:cs="Times New Roman"/>
          <w:highlight w:val="yellow"/>
        </w:rPr>
      </w:pPr>
      <w:r w:rsidRPr="003F1967">
        <w:rPr>
          <w:rFonts w:cs="Times New Roman"/>
          <w:highlight w:val="yellow"/>
        </w:rPr>
        <w:t>a)    Roma capitale provvede alla cancellazione dei residui attivi e passivi nei confronti della gestione commissariale;</w:t>
      </w:r>
    </w:p>
    <w:p w:rsidR="004B64DD" w:rsidRPr="003F1967" w:rsidRDefault="004B64DD" w:rsidP="004B64DD">
      <w:pPr>
        <w:rPr>
          <w:rFonts w:cs="Times New Roman"/>
          <w:highlight w:val="yellow"/>
        </w:rPr>
      </w:pPr>
      <w:r w:rsidRPr="003F1967">
        <w:rPr>
          <w:rFonts w:cs="Times New Roman"/>
          <w:highlight w:val="yellow"/>
        </w:rPr>
        <w:t>b)    sono trasferiti a Roma Capitale i crediti di competenza della stessa gestione commissariale iscritti nella massa attiva del piano di rientro dall’indebitamento pregresso di cui all’articolo 78 del decreto legge 25 giugno 2008, n. 112, come definito in attuazione del comma 930, iscrivendo in bilancio un adeguato fondo crediti di dubbia esigibilità, destinato ad essere conservato fino alla riscossione o cancellazione degli stessi crediti; la differenza è finalizzata alla copertura dell’eventuale disavanzo derivante dalla lettera a);</w:t>
      </w:r>
    </w:p>
    <w:p w:rsidR="004B64DD" w:rsidRPr="003F1967" w:rsidRDefault="004B64DD" w:rsidP="004B64DD">
      <w:pPr>
        <w:rPr>
          <w:rFonts w:cs="Times New Roman"/>
          <w:highlight w:val="yellow"/>
        </w:rPr>
      </w:pPr>
      <w:r w:rsidRPr="003F1967">
        <w:rPr>
          <w:rFonts w:cs="Times New Roman"/>
          <w:highlight w:val="yellow"/>
        </w:rPr>
        <w:t xml:space="preserve">c)      è trasferita a Roma capitale la titolarità del piano di estinzione dei debiti, ivi inclusi quelli finanziari, oggetto di ricognizione, come approvato con il decreto del Presidente del Consiglio dei ministri di cui al comma 930, unitamente alle risorse di cui al comma 14 dell’articolo 14 del decreto-legge 31 maggio 2010, n. 78, convertito con modificazioni dalla legge 30 luglio 2010, n. 122, non destinate annualmente alla copertura degli oneri di cui al comma 6 o all’ammortamento del debito finanziario a carico del Ministero dell’economia e delle finanze individuati dallo stesso decreto del Presidente del Consiglio dei ministri di cui al comma 930;  </w:t>
      </w:r>
    </w:p>
    <w:p w:rsidR="004B64DD" w:rsidRPr="003F1967" w:rsidRDefault="004B64DD" w:rsidP="004B64DD">
      <w:pPr>
        <w:rPr>
          <w:rFonts w:cs="Times New Roman"/>
          <w:highlight w:val="yellow"/>
        </w:rPr>
      </w:pPr>
      <w:r w:rsidRPr="003F1967">
        <w:rPr>
          <w:rFonts w:cs="Times New Roman"/>
          <w:highlight w:val="yellow"/>
        </w:rPr>
        <w:t>d)    le posizioni debitorie derivanti da obbligazioni contratte in data anteriore al 28 aprile 2008 non inserite nella definitiva rilevazione della massa passiva di cui al comma 930, rientrano nella competenza di Roma Capitale.”.</w:t>
      </w:r>
    </w:p>
    <w:p w:rsidR="004B64DD" w:rsidRPr="003F1967" w:rsidRDefault="004B64DD" w:rsidP="004B64DD">
      <w:pPr>
        <w:rPr>
          <w:rFonts w:cs="Times New Roman"/>
          <w:highlight w:val="yellow"/>
        </w:rPr>
      </w:pPr>
      <w:r w:rsidRPr="003F1967">
        <w:rPr>
          <w:rFonts w:cs="Times New Roman"/>
          <w:highlight w:val="yellow"/>
        </w:rPr>
        <w:t>2. Roma Capitale promuove le iniziative necessarie per ottenere l’adesione dei possessori delle obbligazioni City of Rome 5,345% di scadenza 27/1/2048 (ISIN XS0181673798) per 1.400 milioni di euro all’accollo del prestito obbligazionario medesimo da parte dello Stato. In caso di adesione, gli oneri derivanti dal pagamento degli interessi e del capitale del suddetto prestito obbligazionario sono assunti a carico del bilancio dello Stato, con efficacia a partire dal pagamento della cedola successiva a quella in corso al momento dell’adesione stessa.</w:t>
      </w:r>
    </w:p>
    <w:p w:rsidR="004B64DD" w:rsidRPr="003F1967" w:rsidRDefault="004B64DD" w:rsidP="004B64DD">
      <w:pPr>
        <w:rPr>
          <w:rFonts w:cs="Times New Roman"/>
          <w:highlight w:val="yellow"/>
        </w:rPr>
      </w:pPr>
      <w:r w:rsidRPr="003F1967">
        <w:rPr>
          <w:rFonts w:cs="Times New Roman"/>
          <w:highlight w:val="yellow"/>
        </w:rPr>
        <w:t>3. Per le finalità di cui al comma 2, è istituito nello stato di previsione del Ministero dell’economia e delle finanze un fondo con una dotazione di 74,83 milioni di  euro annui per ciascuno degli anni dal 2020 al 2048. Al relativo onere si provvede:</w:t>
      </w:r>
    </w:p>
    <w:p w:rsidR="004B64DD" w:rsidRPr="003F1967" w:rsidRDefault="004B64DD" w:rsidP="004B64DD">
      <w:pPr>
        <w:rPr>
          <w:rFonts w:cs="Times New Roman"/>
          <w:highlight w:val="yellow"/>
        </w:rPr>
      </w:pPr>
      <w:r w:rsidRPr="003F1967">
        <w:rPr>
          <w:rFonts w:cs="Times New Roman"/>
          <w:highlight w:val="yellow"/>
        </w:rPr>
        <w:t xml:space="preserve">a) mediante riduzione dell’autorizzazione di spesa di cui all’articolo 14, comma 14, del decreto-legge 31 maggio 2010, n. 78, convertito con modificazioni dalla legge 30 luglio 2010, n. 122, per un importo pari a 50 milioni di euro per ciascuno degli anni dal 2022 al 2025, a 70 milioni di euro per ciascuno degli anni dal 2026 al 2030 e a 74,83 milioni di euro per ciascuno degli anni dal 2031 al 2048. </w:t>
      </w:r>
    </w:p>
    <w:p w:rsidR="004B64DD" w:rsidRPr="003F1967" w:rsidRDefault="004B64DD" w:rsidP="004B64DD">
      <w:pPr>
        <w:rPr>
          <w:rFonts w:cs="Times New Roman"/>
          <w:highlight w:val="yellow"/>
        </w:rPr>
      </w:pPr>
      <w:r w:rsidRPr="003F1967">
        <w:rPr>
          <w:rFonts w:cs="Times New Roman"/>
          <w:highlight w:val="yellow"/>
        </w:rPr>
        <w:t xml:space="preserve">b) mediante versamento all’entrata del bilancio dello Stato delle risorse giacenti sulla contabilità speciale di cui all’articolo 37, comma 6, del decreto legge 24 aprile 2014, n. 66, convertito, con modificazioni, dalla legge 23 giugno 2014, n. 89, per un importo pari a 74,83 milioni di euro per ciascuno degli anni dal 2020 al 2021, pari a 24,83 milioni di euro per ciascuno degli anni dal 2022 al 2025 e a 4,83 milioni di euro per ciascuno degli anni dal 2026 al 2030. Al fine di assicurarne la disponibilità in ciascuno dei predetti anni, le giacenze della contabilità speciale possono essere utilizzate per le finalità originarie solo per la parte eccedente gli importi complessivi rimasti da versare all’entrata del bilancio dello Stato ai sensi del presente articolo. </w:t>
      </w:r>
    </w:p>
    <w:p w:rsidR="004B64DD" w:rsidRPr="003F1967" w:rsidRDefault="004B64DD" w:rsidP="004B64DD">
      <w:pPr>
        <w:rPr>
          <w:rFonts w:cs="Times New Roman"/>
          <w:highlight w:val="yellow"/>
        </w:rPr>
      </w:pPr>
      <w:r w:rsidRPr="003F1967">
        <w:rPr>
          <w:rFonts w:cs="Times New Roman"/>
          <w:highlight w:val="yellow"/>
        </w:rPr>
        <w:t>4. Agli oneri in termini di indebitamento netto e fabbisogno derivanti dal comma 2, pari a 74,83 milioni di euro annui per ciascuno degli anni dal 2020 al 2048, si provvede mediante corrispondente riduzione del limite alle somme che il Commissario straordinario del Governo per il piano di rientro del debito pregresso del comune di Roma è autorizzato annualmente ad utilizzare a valere sui contributi pluriennali di cui all’articolo 14, comma 14, del decreto-legge 31 maggio 2010, n. 78, convertito con modificazioni dalla leg</w:t>
      </w:r>
      <w:r w:rsidR="00756924" w:rsidRPr="003F1967">
        <w:rPr>
          <w:rFonts w:cs="Times New Roman"/>
          <w:highlight w:val="yellow"/>
        </w:rPr>
        <w:t xml:space="preserve">ge 30 luglio 2010, n. 122. Con </w:t>
      </w:r>
      <w:r w:rsidRPr="003F1967">
        <w:rPr>
          <w:rFonts w:cs="Times New Roman"/>
          <w:highlight w:val="yellow"/>
        </w:rPr>
        <w:t xml:space="preserve">decreto del Ministro dell’economia e delle finanze, adottato ai sensi dell’articolo 4, comma 177-bis della legge 24 dicembre 2003, n. 350, è rideterminato il limite di cui al primo periodo del presente comma. </w:t>
      </w:r>
    </w:p>
    <w:p w:rsidR="004B64DD" w:rsidRPr="003F1967" w:rsidRDefault="004B64DD" w:rsidP="004B64DD">
      <w:pPr>
        <w:rPr>
          <w:rFonts w:cs="Times New Roman"/>
          <w:highlight w:val="yellow"/>
        </w:rPr>
      </w:pPr>
      <w:r w:rsidRPr="003F1967">
        <w:rPr>
          <w:rFonts w:cs="Times New Roman"/>
          <w:highlight w:val="yellow"/>
        </w:rPr>
        <w:t>5. In caso di mancata adesione da parte dei possessori delle obbligazioni di cui al comma 2, la dotazione del fondo di cui al comma 3 è destinata alle finalità di cui all’articolo 14, comma 14, del decreto-legge 31 maggio 2010, n. 78, convertito con modificazioni dalla legge 30 luglio 2010, n. 122.</w:t>
      </w:r>
    </w:p>
    <w:p w:rsidR="004B64DD" w:rsidRPr="003F1967" w:rsidRDefault="004B64DD" w:rsidP="004B64DD">
      <w:pPr>
        <w:rPr>
          <w:rFonts w:cs="Times New Roman"/>
          <w:highlight w:val="yellow"/>
        </w:rPr>
      </w:pPr>
      <w:r w:rsidRPr="003F1967">
        <w:rPr>
          <w:rFonts w:cs="Times New Roman"/>
          <w:highlight w:val="yellow"/>
        </w:rPr>
        <w:t xml:space="preserve">6. In caso di adesione da parte dei possessori delle obbligazioni </w:t>
      </w:r>
      <w:r w:rsidR="00756924" w:rsidRPr="003F1967">
        <w:rPr>
          <w:rFonts w:cs="Times New Roman"/>
          <w:highlight w:val="yellow"/>
        </w:rPr>
        <w:t xml:space="preserve">di cui al comma 2, un importo, </w:t>
      </w:r>
      <w:r w:rsidRPr="003F1967">
        <w:rPr>
          <w:rFonts w:cs="Times New Roman"/>
          <w:highlight w:val="yellow"/>
        </w:rPr>
        <w:t>pari a 200 milioni annui per ciascuno degli anni dal 2042 al 2048, dell’autorizzazione di spesa di cui all’articolo 14, comma 14, del decreto-legge 31 maggio 2010, n. 78, convertito con modificazioni dalla legge 30 luglio 2010, n. 122, è destinato al rimborso della quota capitale delle obbligazioni di cui al comma 2.</w:t>
      </w:r>
    </w:p>
    <w:p w:rsidR="004B64DD" w:rsidRPr="003F1967" w:rsidRDefault="004B64DD" w:rsidP="004B64DD">
      <w:pPr>
        <w:rPr>
          <w:rFonts w:cs="Times New Roman"/>
          <w:highlight w:val="yellow"/>
        </w:rPr>
      </w:pPr>
      <w:r w:rsidRPr="003F1967">
        <w:rPr>
          <w:rFonts w:cs="Times New Roman"/>
          <w:highlight w:val="yellow"/>
        </w:rPr>
        <w:t>7. Al fine di sopperire a temporanee carenze di liquidità della Gestione commissariale per il Piano di Rientro del debito pregresso del Comune di Roma di cui all’articolo 78 del decreto legge del 25 giugno 2008, n.112, convertito con modificazioni dalla legge 6 agosto 2008, n.133, il comune di Roma Capitale è autorizzato a concedere alla stessa Gestione commissariale anticipazioni di liquidità. Le modalità di concessione, la misura dell’eventuale tasso di interesse e la restituzione delle anticipazioni di liquidità di cui al periodo precedente, sono disciplinate con apposita convenzione tra Roma Capitale e la Gestione Commissariale.</w:t>
      </w:r>
    </w:p>
    <w:p w:rsidR="004B64DD" w:rsidRDefault="004B64DD" w:rsidP="007F4AAA">
      <w:pPr>
        <w:rPr>
          <w:highlight w:val="yellow"/>
          <w:lang w:eastAsia="it-IT"/>
        </w:rPr>
      </w:pPr>
    </w:p>
    <w:p w:rsidR="00B973FD" w:rsidRPr="00B973FD" w:rsidRDefault="00B973FD" w:rsidP="00B973FD">
      <w:pPr>
        <w:jc w:val="center"/>
        <w:rPr>
          <w:rFonts w:cs="Times New Roman"/>
          <w:b/>
          <w:highlight w:val="yellow"/>
        </w:rPr>
      </w:pPr>
      <w:r w:rsidRPr="00B973FD">
        <w:rPr>
          <w:rFonts w:cs="Times New Roman"/>
          <w:b/>
          <w:highlight w:val="yellow"/>
        </w:rPr>
        <w:t>Relazione illustrativa</w:t>
      </w:r>
    </w:p>
    <w:p w:rsidR="00B973FD" w:rsidRPr="00B973FD" w:rsidRDefault="00B973FD" w:rsidP="00B973FD">
      <w:pPr>
        <w:rPr>
          <w:rFonts w:cs="Times New Roman"/>
          <w:highlight w:val="yellow"/>
        </w:rPr>
      </w:pPr>
      <w:r w:rsidRPr="00B973FD">
        <w:rPr>
          <w:rFonts w:cs="Times New Roman"/>
          <w:highlight w:val="yellow"/>
        </w:rPr>
        <w:t>La disposizione di cui al comma 1, lett. a) e b), introduce il comma 932-bis nell’articolo 1 della legge di bilancio per il 2019, prevedendo che, a fronte dei crediti di competenza della gestione commissariale iscritti nella massa attiva del piano di rientro dall’indebitamento pregresso di cui all’articolo 78 del decreto legge n. 112/2008, trasferiti a Roma Capitale, lo stesso comune debba iscrivere in bilancio un adeguato fondo crediti di dubbia esigibilità, destinato ad essere conservato fino alla riscossione o cancellazione degli stessi crediti; la differenza, invece, è finalizzata alla copertura dell’eventuale disavanzo derivante dalla lettera a).</w:t>
      </w:r>
    </w:p>
    <w:p w:rsidR="00B973FD" w:rsidRPr="00B973FD" w:rsidRDefault="00B973FD" w:rsidP="00B973FD">
      <w:pPr>
        <w:rPr>
          <w:rFonts w:cs="Times New Roman"/>
          <w:highlight w:val="yellow"/>
        </w:rPr>
      </w:pPr>
      <w:r w:rsidRPr="00B973FD">
        <w:rPr>
          <w:rFonts w:cs="Times New Roman"/>
          <w:highlight w:val="yellow"/>
        </w:rPr>
        <w:t xml:space="preserve">La lett. c), a fronte del trasferimento a Roma capitale della titolarità del piano di estinzione dei debiti, prevede l’assegnazione al comune delle risorse necessarie per farvi fronte. Al fine poi di assicurare la neutralità dell’operazione anche per il bilancio statale, le somme trasferite a Roma Capitale sono preventivamente ridotte delle somme occorrenti alla copertura degli oneri di cui al comma 6 della norma in esame o all’ammortamento del debito finanziario a carico del Ministero dell’economia e delle finanze. </w:t>
      </w:r>
    </w:p>
    <w:p w:rsidR="00B973FD" w:rsidRPr="00B973FD" w:rsidRDefault="00B973FD" w:rsidP="00B973FD">
      <w:pPr>
        <w:rPr>
          <w:rFonts w:cs="Times New Roman"/>
          <w:highlight w:val="yellow"/>
        </w:rPr>
      </w:pPr>
      <w:r w:rsidRPr="00B973FD">
        <w:rPr>
          <w:rFonts w:cs="Times New Roman"/>
          <w:highlight w:val="yellow"/>
        </w:rPr>
        <w:t>Infine, la lett. d) chiarisce che le posizioni debitorie derivanti da obbligazioni contratte in data anteriore al 28 aprile 2008 non inserite nella definitiva rilevazione della massa passiva rientrano nella competenza di Roma Capitale.</w:t>
      </w:r>
    </w:p>
    <w:p w:rsidR="00B973FD" w:rsidRPr="00B973FD" w:rsidRDefault="00B973FD" w:rsidP="00B973FD">
      <w:pPr>
        <w:rPr>
          <w:rFonts w:cs="Times New Roman"/>
          <w:highlight w:val="yellow"/>
        </w:rPr>
      </w:pPr>
      <w:r w:rsidRPr="00B973FD">
        <w:rPr>
          <w:rFonts w:cs="Times New Roman"/>
          <w:highlight w:val="yellow"/>
        </w:rPr>
        <w:t xml:space="preserve">La disposizione di cui ai commi da 2 a 6 disciplina la possibile assunzione a carico del bilancio dello Stato degli oneri derivanti dal pagamento degli interessi e del capitale delle obbligazioni City of Rome 5,345% di scadenza 27/1/2048, attualmente inclusi nella massa passiva della gestione commissariale per il piano di rientro del debito pregresso del comune di Roma. L’assunzione è subordinata all’adesione dei possessori delle obbligazioni. Nel caso di mancata adesione, è previsto che le somme destinate a fronteggiare gli oneri relativi alle predette obbligazioni siano trasferite alla gestione commissariale. </w:t>
      </w:r>
    </w:p>
    <w:p w:rsidR="00B973FD" w:rsidRPr="008F31AD" w:rsidRDefault="00B973FD" w:rsidP="00B973FD">
      <w:pPr>
        <w:rPr>
          <w:rFonts w:cs="Times New Roman"/>
        </w:rPr>
      </w:pPr>
      <w:r w:rsidRPr="00B973FD">
        <w:rPr>
          <w:rFonts w:cs="Times New Roman"/>
          <w:highlight w:val="yellow"/>
        </w:rPr>
        <w:t>Il comma 7 attribuisce al comune di Roma Capitale la facoltà di concedere alla Gestione commissariale anticipazioni di liquidità secondo modalità da definire con apposita convenzione tra comune e gestione commissariale.</w:t>
      </w:r>
    </w:p>
    <w:p w:rsidR="00B973FD" w:rsidRPr="003F1967" w:rsidRDefault="00B973FD" w:rsidP="007F4AAA">
      <w:pPr>
        <w:rPr>
          <w:highlight w:val="yellow"/>
          <w:lang w:eastAsia="it-IT"/>
        </w:rPr>
      </w:pPr>
    </w:p>
    <w:p w:rsidR="000F2A81" w:rsidRPr="003F1967" w:rsidRDefault="000F2A81" w:rsidP="000F2A81">
      <w:pPr>
        <w:jc w:val="center"/>
        <w:rPr>
          <w:b/>
          <w:highlight w:val="yellow"/>
        </w:rPr>
      </w:pPr>
      <w:r w:rsidRPr="003F1967">
        <w:rPr>
          <w:b/>
          <w:highlight w:val="yellow"/>
        </w:rPr>
        <w:t>R</w:t>
      </w:r>
      <w:r w:rsidR="00756924" w:rsidRPr="003F1967">
        <w:rPr>
          <w:b/>
          <w:highlight w:val="yellow"/>
        </w:rPr>
        <w:t>elazione tecnica</w:t>
      </w:r>
    </w:p>
    <w:p w:rsidR="000F2A81" w:rsidRPr="003F1967" w:rsidRDefault="000F2A81" w:rsidP="000F2A81">
      <w:pPr>
        <w:rPr>
          <w:highlight w:val="yellow"/>
        </w:rPr>
      </w:pPr>
      <w:r w:rsidRPr="003F1967">
        <w:rPr>
          <w:highlight w:val="yellow"/>
        </w:rPr>
        <w:t>La disposizione di cui al comma 1, capoverso comma 932-bis, lett. a) e b), non comporta un ampliamento della capacità di spesa di Roma Capitale, in quanto si prevede che, a fronte dei crediti di competenza della gestione commissariale iscritti nella massa attiva del piano di rientro dall’indebitamento pregresso di cui all’articolo 78 del decreto legge n. 112/2008, trasferiti a Roma Capitale, lo stesso comune debba iscrivere in bilancio un adeguato fondo crediti di dubbia esigibilità, destinato ad essere conservato fino alla riscossione o cancellazione degli stessi crediti; la differenza, invece, è finalizzata alla copertura dell’eventuale disavanzo derivante dalla lettera a).</w:t>
      </w:r>
    </w:p>
    <w:p w:rsidR="000F2A81" w:rsidRPr="003F1967" w:rsidRDefault="000F2A81" w:rsidP="000F2A81">
      <w:pPr>
        <w:rPr>
          <w:highlight w:val="yellow"/>
        </w:rPr>
      </w:pPr>
      <w:r w:rsidRPr="003F1967">
        <w:rPr>
          <w:highlight w:val="yellow"/>
        </w:rPr>
        <w:t xml:space="preserve">Parimenti risulta neutrale la successiva lett. c), atteso che a fronte del trasferimento a Roma capitale della titolarità del piano di estinzione dei debiti, si prevede l’assegnazione al comune delle risorse necessarie per farvi fronte. Al fine poi di assicurare la neutralità dell’operazione anche per il bilancio statale, le somme trasferite a Roma Capitale sono preventivamente ridotte delle somme occorrenti alla copertura degli oneri di cui al comma 6 della norma in esame o all’ammortamento del debito finanziario a carico del Ministero dell’economia e delle finanze. </w:t>
      </w:r>
    </w:p>
    <w:p w:rsidR="000F2A81" w:rsidRPr="003F1967" w:rsidRDefault="000F2A81" w:rsidP="000F2A81">
      <w:pPr>
        <w:rPr>
          <w:highlight w:val="yellow"/>
        </w:rPr>
      </w:pPr>
      <w:r w:rsidRPr="003F1967">
        <w:rPr>
          <w:highlight w:val="yellow"/>
        </w:rPr>
        <w:t>Infine, la lett. d) chiarisce esclusivamente che le posizioni debitorie derivanti da obbligazioni contratte in data anteriore al 28 aprile 2008 non inserite nella definitiva rilevazione della massa passiva rientrano nella competenza di Roma Capitale.</w:t>
      </w:r>
    </w:p>
    <w:p w:rsidR="000F2A81" w:rsidRPr="003F1967" w:rsidRDefault="000F2A81" w:rsidP="000F2A81">
      <w:pPr>
        <w:rPr>
          <w:highlight w:val="yellow"/>
        </w:rPr>
      </w:pPr>
      <w:r w:rsidRPr="003F1967">
        <w:rPr>
          <w:highlight w:val="yellow"/>
        </w:rPr>
        <w:t xml:space="preserve">La disposizione di cui ai commi da 2 a 6 disciplina la possibile assunzione a carico del bilancio dello Stato degli oneri derivanti dal pagamento degli interessi e del capitale delle obbligazioni City of Rome 5,345% di scadenza 27/1/2048, attualmente inclusi nella massa passiva della gestione commissariale per il piano di rientro del debito pregresso del comune di Roma. L’assunzione è subordinata all’adesione dei possessori delle obbligazioni ed è volta ad assicurare la sostenibilità finanziaria della gestione commissariale in ciascun anno della sua operatività: allo stato, infatti, tale sostenibilità è garantita solo in termini complessivi ma, a causa dei disallineamenti tra entrate e uscite previste, non in ciascun anno. </w:t>
      </w:r>
    </w:p>
    <w:p w:rsidR="000F2A81" w:rsidRPr="003F1967" w:rsidRDefault="000F2A81" w:rsidP="000F2A81">
      <w:pPr>
        <w:rPr>
          <w:highlight w:val="yellow"/>
        </w:rPr>
      </w:pPr>
      <w:r w:rsidRPr="003F1967">
        <w:rPr>
          <w:highlight w:val="yellow"/>
        </w:rPr>
        <w:t>Gli oneri derivanti dall’accollo sono pari, per la quota</w:t>
      </w:r>
      <w:r w:rsidR="00637402" w:rsidRPr="003F1967">
        <w:rPr>
          <w:highlight w:val="yellow"/>
        </w:rPr>
        <w:t xml:space="preserve"> interessi, a 74,83 milioni di </w:t>
      </w:r>
      <w:r w:rsidRPr="003F1967">
        <w:rPr>
          <w:highlight w:val="yellow"/>
        </w:rPr>
        <w:t xml:space="preserve">euro annui per ciascuno degli anni dal 2020 al 2048 e sono posti a carico di un fondo di pari dotazione, istituito nello stato di previsione del Ministero dell’economia e delle finanze. </w:t>
      </w:r>
    </w:p>
    <w:p w:rsidR="000F2A81" w:rsidRPr="003F1967" w:rsidRDefault="000F2A81" w:rsidP="000F2A81">
      <w:pPr>
        <w:rPr>
          <w:highlight w:val="yellow"/>
        </w:rPr>
      </w:pPr>
      <w:r w:rsidRPr="003F1967">
        <w:rPr>
          <w:highlight w:val="yellow"/>
        </w:rPr>
        <w:t>Il comma 3 riporta la copertura del predetto onere in termini di saldo netto da finanziare. In particolare, detta copertura è individuata:</w:t>
      </w:r>
    </w:p>
    <w:p w:rsidR="000F2A81" w:rsidRPr="003F1967" w:rsidRDefault="000F2A81" w:rsidP="000F2A81">
      <w:pPr>
        <w:rPr>
          <w:highlight w:val="yellow"/>
        </w:rPr>
      </w:pPr>
      <w:r w:rsidRPr="003F1967">
        <w:rPr>
          <w:highlight w:val="yellow"/>
        </w:rPr>
        <w:t>a) nella riduzione dell’autorizzazione di spesa di cui all’articolo 14, comma 14, del decreto-legge 31 maggio 2010, n. 78, convertito con modificazioni dalla legge 30 luglio 2010, n. 122, relativa ai contributi statali versati alla gestione commissariale per un importo pari a 50 milioni di euro per ciascuno degli anni dal 2022 al 2025, a 70 milioni di euro per ciascuno degli anni dal 2026 al 2030 e a 74,83 milioni di euro per ciascuno degli anni dal 2031 al 2048. La riduzione dei predetti contributi è resa possibile dall’eliminazione dalla massa passiva della gestione commissariale degli oneri relativi alle obbligazioni assunte dallo Stato.</w:t>
      </w:r>
    </w:p>
    <w:p w:rsidR="000F2A81" w:rsidRPr="003F1967" w:rsidRDefault="000F2A81" w:rsidP="000F2A81">
      <w:pPr>
        <w:rPr>
          <w:highlight w:val="yellow"/>
        </w:rPr>
      </w:pPr>
      <w:r w:rsidRPr="003F1967">
        <w:rPr>
          <w:highlight w:val="yellow"/>
        </w:rPr>
        <w:t xml:space="preserve">b) nel versamento all’entrata del bilancio dello Stato delle risorse giacenti sulla contabilità speciale di cui all’articolo 37, comma 6, del decreto legge 24 aprile 2014, n. 66, convertito, con modificazioni, dalla legge 23 giugno 2014, n. 89, per l’importo rimanente. Al fine di assicurarne la disponibilità in ciascuno dei predetti anni, si stabilisce che le giacenze della contabilità speciale possano essere utilizzate per le finalità originarie solo per la parte eccedente gli importi complessivi rimasti da versare all’entrata del bilancio dello Stato ai sensi del presente articolo. </w:t>
      </w:r>
    </w:p>
    <w:p w:rsidR="000F2A81" w:rsidRPr="003F1967" w:rsidRDefault="000F2A81" w:rsidP="000F2A81">
      <w:pPr>
        <w:rPr>
          <w:highlight w:val="yellow"/>
        </w:rPr>
      </w:pPr>
      <w:r w:rsidRPr="003F1967">
        <w:rPr>
          <w:highlight w:val="yellow"/>
        </w:rPr>
        <w:t xml:space="preserve">Il comma 4 individua la copertura finanziaria in termini di indebitamento netto e fabbisogno. Come per il saldo netto da finanziare, per tali saldi l’onere coincide con la quota interessi assunta a carico dello Stato. Infatti, a tale maggiore spesa per lo Stato, a legislazione vigente, non corrisponderebbe una riduzione della capacità di spesa della gestione commissariale, rimanendo invariati i limiti di spesa fissati dai decreti del Ministro dell’economia e delle finanze del 18 marzo 2011 e del 23 gennaio 2013. Il comma 4 prevede pertanto una corrispondente riduzione di tali limiti, da adottarsi con decreto del Ministro dell’economia e delle finanze. </w:t>
      </w:r>
    </w:p>
    <w:p w:rsidR="000F2A81" w:rsidRPr="003F1967" w:rsidRDefault="000F2A81" w:rsidP="000F2A81">
      <w:pPr>
        <w:rPr>
          <w:highlight w:val="yellow"/>
        </w:rPr>
      </w:pPr>
      <w:r w:rsidRPr="003F1967">
        <w:rPr>
          <w:highlight w:val="yellow"/>
        </w:rPr>
        <w:t>Il comma 5 disciplina il caso di mancata adesione degli obbligazionisti, prevedendo che, in tale circostanza, il fondo istituito al comma 3 possa essere destinato alla gestione commissaria</w:t>
      </w:r>
      <w:r w:rsidRPr="003F1967">
        <w:rPr>
          <w:color w:val="auto"/>
          <w:highlight w:val="yellow"/>
        </w:rPr>
        <w:t>le</w:t>
      </w:r>
      <w:r w:rsidRPr="003F1967">
        <w:rPr>
          <w:strike/>
          <w:color w:val="auto"/>
          <w:highlight w:val="yellow"/>
        </w:rPr>
        <w:t>, per l’importo di cui alla lettera a del medesimo comma</w:t>
      </w:r>
      <w:r w:rsidRPr="003F1967">
        <w:rPr>
          <w:color w:val="auto"/>
          <w:highlight w:val="yellow"/>
        </w:rPr>
        <w:t>. Tale previsione si rende necessaria per consentire alla ges</w:t>
      </w:r>
      <w:r w:rsidRPr="003F1967">
        <w:rPr>
          <w:highlight w:val="yellow"/>
        </w:rPr>
        <w:t>tione commissariale di disporre delle risorse necessarie al rimborso delle obbligazioni che rimarrebbe a carico della stessa.</w:t>
      </w:r>
    </w:p>
    <w:p w:rsidR="000F2A81" w:rsidRPr="003F1967" w:rsidRDefault="000F2A81" w:rsidP="000F2A81">
      <w:pPr>
        <w:rPr>
          <w:highlight w:val="yellow"/>
        </w:rPr>
      </w:pPr>
      <w:r w:rsidRPr="003F1967">
        <w:rPr>
          <w:highlight w:val="yellow"/>
        </w:rPr>
        <w:t>Il comma 6 è volto a preordinare le risorse per il rimborso della quota capitale delle obbligazioni, che avverrà in un’unica soluzione nell’anno 2048, per l’importo di 1.400 milioni di euro. Trattandosi di un rimborso di passività finanziarie, la relativa spesa non comporta effetti sui saldi di finanza pubblica né sul saldo netto da finanziare. Il comma dispone che una quota del contributo statale alla gestione commissariale, pari a 200 milioni annui per ciascuno degli anni dal 2042 al 2048, sia destinato a tale finalità.</w:t>
      </w:r>
    </w:p>
    <w:p w:rsidR="000F2A81" w:rsidRPr="002279E2" w:rsidRDefault="000F2A81" w:rsidP="000F2A81">
      <w:r w:rsidRPr="003F1967">
        <w:rPr>
          <w:highlight w:val="yellow"/>
        </w:rPr>
        <w:t>Il comma 7 non determina maggiori oneri, in quanto meramente finalizzato a facoltizzare il comune di Roma Capitale a concedere alla Gestione commissariale anticipazioni di liquidità secondo modalità da definire con apposita convenzione tra comune e gestione commissariale.</w:t>
      </w:r>
    </w:p>
    <w:p w:rsidR="000F2A81" w:rsidRPr="002279E2" w:rsidRDefault="000F2A81" w:rsidP="007F4AAA">
      <w:pPr>
        <w:rPr>
          <w:lang w:eastAsia="it-IT"/>
        </w:rPr>
      </w:pPr>
    </w:p>
    <w:p w:rsidR="003E3D11" w:rsidRPr="002279E2" w:rsidRDefault="003E3D11" w:rsidP="00474AD6">
      <w:pPr>
        <w:pStyle w:val="Titolo2"/>
      </w:pPr>
      <w:bookmarkStart w:id="74" w:name="_Toc6937370"/>
      <w:r w:rsidRPr="00E62064">
        <w:t>Articolo</w:t>
      </w:r>
      <w:r w:rsidR="00B30DBD" w:rsidRPr="00E62064">
        <w:t xml:space="preserve"> </w:t>
      </w:r>
      <w:r w:rsidR="00E97E40">
        <w:t>39</w:t>
      </w:r>
      <w:r w:rsidRPr="00E62064">
        <w:br/>
        <w:t>(Modifica al decreto- legge 28 gennaio 2019, n. 4)</w:t>
      </w:r>
      <w:bookmarkEnd w:id="74"/>
    </w:p>
    <w:p w:rsidR="0032315D" w:rsidRPr="002279E2" w:rsidRDefault="0032315D" w:rsidP="0032315D">
      <w:pPr>
        <w:ind w:right="-1"/>
        <w:rPr>
          <w:rFonts w:cs="Times New Roman"/>
          <w:szCs w:val="24"/>
        </w:rPr>
      </w:pPr>
      <w:r w:rsidRPr="002279E2">
        <w:rPr>
          <w:rFonts w:cs="Times New Roman"/>
          <w:szCs w:val="24"/>
        </w:rPr>
        <w:t>1. All’articolo 6, comma 8, del decreto-legge 28 gennaio 2019, n. 4 le parole da: “Il Ministero del lavoro e delle politiche sociali” sino alla fine del comma sono sostituite dalle seguenti: “attesa la situazione di necessità e di urgenza, limitatamente al triennio 2019-2021,</w:t>
      </w:r>
      <w:r w:rsidRPr="002279E2">
        <w:rPr>
          <w:rFonts w:cs="Times New Roman"/>
          <w:b/>
          <w:szCs w:val="24"/>
        </w:rPr>
        <w:t xml:space="preserve"> </w:t>
      </w:r>
      <w:r w:rsidRPr="002279E2">
        <w:rPr>
          <w:rFonts w:cs="Times New Roman"/>
          <w:szCs w:val="24"/>
        </w:rPr>
        <w:t xml:space="preserve">l’Anpal, previa convenzione approvata con decreto del Ministero del lavoro e delle politiche sociali, può avvalersi di società in </w:t>
      </w:r>
      <w:r w:rsidRPr="002279E2">
        <w:rPr>
          <w:rFonts w:cs="Times New Roman"/>
          <w:i/>
          <w:szCs w:val="24"/>
        </w:rPr>
        <w:t>house</w:t>
      </w:r>
      <w:r w:rsidRPr="002279E2">
        <w:rPr>
          <w:rFonts w:cs="Times New Roman"/>
          <w:szCs w:val="24"/>
        </w:rPr>
        <w:t xml:space="preserve"> al Ministero medesimo già esistenti, le quali possono servirsi degli strumenti di acquisto e negoziazione messi a disposizione da Consip S.p.A.”.</w:t>
      </w:r>
    </w:p>
    <w:p w:rsidR="0032315D" w:rsidRPr="002279E2" w:rsidRDefault="0032315D" w:rsidP="0032315D">
      <w:pPr>
        <w:ind w:right="-1"/>
        <w:jc w:val="center"/>
        <w:rPr>
          <w:rFonts w:cs="Times New Roman"/>
          <w:b/>
          <w:szCs w:val="24"/>
        </w:rPr>
      </w:pPr>
    </w:p>
    <w:p w:rsidR="0032315D" w:rsidRPr="002279E2" w:rsidRDefault="0032315D" w:rsidP="0032315D">
      <w:pPr>
        <w:ind w:right="-1"/>
        <w:jc w:val="center"/>
        <w:rPr>
          <w:rFonts w:cs="Times New Roman"/>
          <w:b/>
          <w:szCs w:val="24"/>
        </w:rPr>
      </w:pPr>
      <w:r w:rsidRPr="002279E2">
        <w:rPr>
          <w:rFonts w:cs="Times New Roman"/>
          <w:b/>
          <w:szCs w:val="24"/>
        </w:rPr>
        <w:t>Relazione illustrativa</w:t>
      </w:r>
    </w:p>
    <w:p w:rsidR="0032315D" w:rsidRPr="002279E2" w:rsidRDefault="0032315D" w:rsidP="0032315D">
      <w:pPr>
        <w:rPr>
          <w:rFonts w:cs="Times New Roman"/>
          <w:szCs w:val="24"/>
        </w:rPr>
      </w:pPr>
      <w:r w:rsidRPr="002279E2">
        <w:rPr>
          <w:rFonts w:cs="Times New Roman"/>
          <w:szCs w:val="24"/>
        </w:rPr>
        <w:t>La modifica normativa proposta consente all’Anpal di procedere autonomamente alla stipula di convenzioni necessarie all’implementazione della piattaforma informativa strutturale all’attività dei centri per l’impiego.</w:t>
      </w:r>
    </w:p>
    <w:p w:rsidR="0032315D" w:rsidRPr="002279E2" w:rsidRDefault="0032315D" w:rsidP="0032315D">
      <w:pPr>
        <w:ind w:right="-1"/>
        <w:rPr>
          <w:rFonts w:cs="Times New Roman"/>
          <w:szCs w:val="24"/>
        </w:rPr>
      </w:pPr>
      <w:r w:rsidRPr="002279E2">
        <w:rPr>
          <w:rFonts w:cs="Times New Roman"/>
          <w:szCs w:val="24"/>
        </w:rPr>
        <w:t>Tali convenzioni, che dovranno comunque essere approvate con decreto del Ministero del lavoro e delle politiche sociali, possono essere stipulate anche con società in</w:t>
      </w:r>
      <w:r w:rsidRPr="002279E2">
        <w:rPr>
          <w:rFonts w:cs="Times New Roman"/>
          <w:i/>
          <w:szCs w:val="24"/>
        </w:rPr>
        <w:t xml:space="preserve"> house</w:t>
      </w:r>
      <w:r w:rsidRPr="002279E2">
        <w:rPr>
          <w:rFonts w:cs="Times New Roman"/>
          <w:szCs w:val="24"/>
        </w:rPr>
        <w:t xml:space="preserve"> al Ministero medesimo. Tali società, laddove si rendesse necessario, potranno utilizzare strumenti di acquisto e negoziazione messi a disposizione da Consip S.p.A..</w:t>
      </w:r>
    </w:p>
    <w:p w:rsidR="0032315D" w:rsidRPr="002279E2" w:rsidRDefault="0032315D" w:rsidP="0032315D">
      <w:pPr>
        <w:pStyle w:val="Paragrafoelenco"/>
        <w:spacing w:after="0" w:line="240" w:lineRule="auto"/>
        <w:ind w:left="0"/>
        <w:rPr>
          <w:rFonts w:ascii="Times New Roman" w:hAnsi="Times New Roman"/>
          <w:szCs w:val="24"/>
          <w:lang w:val="it-IT"/>
        </w:rPr>
      </w:pPr>
      <w:r w:rsidRPr="002279E2">
        <w:rPr>
          <w:rFonts w:ascii="Times New Roman" w:hAnsi="Times New Roman"/>
          <w:szCs w:val="24"/>
          <w:lang w:val="it-IT"/>
        </w:rPr>
        <w:t xml:space="preserve">L’intervento si giustifica tenuto conto delle ragioni di necessità e urgenza relative al triennio 2019-2021 che richiedono un veloce adeguamento delle procedure telematiche alle nuove misure introdotte dal decreto sul reddito di cittadinanza al fine di garantire, in una prospettiva di sviluppo, l’efficacia e l’efficientamento delle strutture a ciò preposte. </w:t>
      </w:r>
    </w:p>
    <w:p w:rsidR="0032315D" w:rsidRPr="002279E2" w:rsidRDefault="0032315D" w:rsidP="0032315D">
      <w:pPr>
        <w:ind w:right="-1"/>
        <w:jc w:val="center"/>
        <w:rPr>
          <w:rFonts w:cs="Times New Roman"/>
          <w:b/>
          <w:szCs w:val="24"/>
        </w:rPr>
      </w:pPr>
    </w:p>
    <w:p w:rsidR="0032315D" w:rsidRPr="002279E2" w:rsidRDefault="0032315D" w:rsidP="0032315D">
      <w:pPr>
        <w:ind w:right="-1"/>
        <w:jc w:val="center"/>
        <w:rPr>
          <w:rFonts w:cs="Times New Roman"/>
          <w:b/>
          <w:szCs w:val="24"/>
        </w:rPr>
      </w:pPr>
      <w:r w:rsidRPr="002279E2">
        <w:rPr>
          <w:rFonts w:cs="Times New Roman"/>
          <w:b/>
          <w:szCs w:val="24"/>
        </w:rPr>
        <w:t>Relazione tecnica</w:t>
      </w:r>
    </w:p>
    <w:p w:rsidR="0032315D" w:rsidRDefault="0032315D" w:rsidP="0032315D">
      <w:pPr>
        <w:ind w:right="-1"/>
        <w:rPr>
          <w:rFonts w:cs="Times New Roman"/>
          <w:szCs w:val="24"/>
        </w:rPr>
      </w:pPr>
      <w:r w:rsidRPr="002279E2">
        <w:rPr>
          <w:rFonts w:cs="Times New Roman"/>
          <w:szCs w:val="24"/>
        </w:rPr>
        <w:t>La disposizione di tipo ordinamentale non comporta nuovi o maggiori oneri per la finanza pubblica. Si segnala che gli oneri che potranno scaturire dalla stipula delle convenzioni da parte di Anpal troveranno la necessaria copertura finanziaria nell’ambito delle risorse finanziarie, pari a 10 milioni di euro per ciascuno degli anni 2019 e 2020 e 5 milioni di euro per l'anno 2021, che l’articolo 12, comma 4-bis, del decreto-legge n. 4 del 2019, convertito, con modificazioni, dalla legge 28 marzo 2019, n. 26, ha destinato all’adeguamento delle spese di funzionamento dell’Anpal per l’attuazione del Reddito di cittadinanza.</w:t>
      </w:r>
    </w:p>
    <w:p w:rsidR="0054441C" w:rsidRDefault="0054441C" w:rsidP="0032315D">
      <w:pPr>
        <w:ind w:right="-1"/>
        <w:rPr>
          <w:rFonts w:cs="Times New Roman"/>
          <w:szCs w:val="24"/>
        </w:rPr>
      </w:pPr>
    </w:p>
    <w:p w:rsidR="0054441C" w:rsidRPr="0054441C" w:rsidRDefault="0054441C" w:rsidP="0054441C">
      <w:pPr>
        <w:pStyle w:val="Titolo2"/>
        <w:rPr>
          <w:rStyle w:val="FontStyle38"/>
          <w:rFonts w:ascii="Times New Roman" w:hAnsi="Times New Roman" w:cs="Times New Roman"/>
          <w:b/>
          <w:bCs/>
          <w:i/>
          <w:iCs/>
          <w:color w:val="000000" w:themeColor="text1"/>
          <w:szCs w:val="28"/>
        </w:rPr>
      </w:pPr>
      <w:bookmarkStart w:id="75" w:name="_Toc6507742"/>
      <w:bookmarkStart w:id="76" w:name="_Toc6937371"/>
      <w:r w:rsidRPr="0054441C">
        <w:t>Art</w:t>
      </w:r>
      <w:r w:rsidR="0078344B">
        <w:t>icolo</w:t>
      </w:r>
      <w:r w:rsidRPr="0054441C">
        <w:t xml:space="preserve"> </w:t>
      </w:r>
      <w:r>
        <w:t>4</w:t>
      </w:r>
      <w:r w:rsidR="00E97E40">
        <w:t>0</w:t>
      </w:r>
      <w:r w:rsidRPr="0054441C">
        <w:br/>
      </w:r>
      <w:r w:rsidRPr="0054441C">
        <w:rPr>
          <w:rStyle w:val="FontStyle38"/>
          <w:rFonts w:ascii="Times New Roman" w:hAnsi="Times New Roman" w:cs="Times New Roman"/>
          <w:b/>
          <w:bCs/>
          <w:i/>
          <w:iCs/>
          <w:color w:val="000000" w:themeColor="text1"/>
          <w:szCs w:val="28"/>
        </w:rPr>
        <w:t>(Misure di sostegno al reddito per chiusura della strada 55 3 bis Tiberina E45)</w:t>
      </w:r>
      <w:bookmarkEnd w:id="75"/>
      <w:bookmarkEnd w:id="76"/>
    </w:p>
    <w:p w:rsidR="0054441C" w:rsidRPr="0054441C" w:rsidRDefault="0054441C" w:rsidP="0054441C">
      <w:pPr>
        <w:pStyle w:val="Style4"/>
        <w:widowControl/>
        <w:tabs>
          <w:tab w:val="left" w:pos="655"/>
        </w:tabs>
        <w:ind w:right="361"/>
        <w:jc w:val="both"/>
        <w:rPr>
          <w:rStyle w:val="FontStyle39"/>
          <w:rFonts w:ascii="Times New Roman" w:hAnsi="Times New Roman" w:cs="Times New Roman"/>
          <w:sz w:val="22"/>
          <w:szCs w:val="22"/>
        </w:rPr>
      </w:pPr>
      <w:r w:rsidRPr="0054441C">
        <w:rPr>
          <w:rStyle w:val="FontStyle39"/>
          <w:rFonts w:ascii="Times New Roman" w:hAnsi="Times New Roman" w:cs="Times New Roman"/>
          <w:sz w:val="22"/>
          <w:szCs w:val="22"/>
        </w:rPr>
        <w:t>1. E' concessa, ai sensi del comma 3, un'indennità pari al trattamento massimo di integrazione salariale, con la relativa contribuzione figurativa, a decorrere dal 16 gennaio 2019, per un massimo di sei mesi, in favore dei lavoratori del settore privato, compreso quello agricolo, impossibilitati o penalizzati a prestare l'attività lavorativa, in tutto o in parte, a seguito della chiusura della strada SS 3bis Tiberina E45 Orte Ravenna dal Km. 168+200 al Km 162+698, per il sequestro del viadotto Puleto con relativa interdizione totale della circolazione, dipendenti da aziende, o da soggetti diversi dalle imprese, coinvolti dalla predetta chiusura, che hanno subito un impatto economico negativo e per i quali non trovano applicazione le vigenti disposizioni in materia di ammortizzatori sociali in costanza di rapporto di lavoro o che hanno esaurito le tutele previste dalla normativa vigente.</w:t>
      </w:r>
    </w:p>
    <w:p w:rsidR="0054441C" w:rsidRPr="0054441C" w:rsidRDefault="0054441C" w:rsidP="0054441C">
      <w:pPr>
        <w:pStyle w:val="Style4"/>
        <w:widowControl/>
        <w:tabs>
          <w:tab w:val="left" w:pos="655"/>
        </w:tabs>
        <w:ind w:right="361"/>
        <w:jc w:val="both"/>
        <w:rPr>
          <w:rStyle w:val="FontStyle39"/>
          <w:rFonts w:ascii="Times New Roman" w:hAnsi="Times New Roman" w:cs="Times New Roman"/>
          <w:sz w:val="22"/>
          <w:szCs w:val="22"/>
        </w:rPr>
      </w:pPr>
      <w:r w:rsidRPr="0054441C">
        <w:rPr>
          <w:rStyle w:val="FontStyle39"/>
          <w:rFonts w:ascii="Times New Roman" w:hAnsi="Times New Roman" w:cs="Times New Roman"/>
          <w:sz w:val="22"/>
          <w:szCs w:val="22"/>
        </w:rPr>
        <w:t>2. In favore dei titolari di rapporti di collaborazione coordinata e continuativa, di agenzia e di rappresentanza commerciale, dei lavoratori autonomi, ivi compresi i titolari di attività di impresa e professionali, iscritti a qualsiasi forma obbligatoria di previdenza e assistenza, che abbiano dovuto sospendere l'attività a causa dell'evento di cui al comma 1, è riconosciuta, ai sensi del comma 3, un'indennità una tantum pari a 15.000 euro, nel rispetto della normativa dell'Unione europea e nazionale in materia di aiuti di Stato.</w:t>
      </w:r>
    </w:p>
    <w:p w:rsidR="0054441C" w:rsidRPr="0054441C" w:rsidRDefault="0054441C" w:rsidP="0054441C">
      <w:pPr>
        <w:pStyle w:val="Style4"/>
        <w:widowControl/>
        <w:tabs>
          <w:tab w:val="left" w:pos="655"/>
        </w:tabs>
        <w:ind w:right="361"/>
        <w:jc w:val="both"/>
        <w:rPr>
          <w:rStyle w:val="FontStyle39"/>
          <w:rFonts w:ascii="Times New Roman" w:hAnsi="Times New Roman" w:cs="Times New Roman"/>
          <w:sz w:val="22"/>
          <w:szCs w:val="22"/>
        </w:rPr>
      </w:pPr>
      <w:r w:rsidRPr="0054441C">
        <w:rPr>
          <w:rStyle w:val="FontStyle39"/>
          <w:rFonts w:ascii="Times New Roman" w:hAnsi="Times New Roman" w:cs="Times New Roman"/>
          <w:sz w:val="22"/>
          <w:szCs w:val="22"/>
        </w:rPr>
        <w:t>3. Le indennità di cui ai commi 1 e 2 sono concesse con decreto delle regioni Emilia Romagna, Toscana e Umbria, nel limite di spesa complessivo di 10 milioni di euro per l'anno 2019. Le regioni, insieme al decreto di concessione, inviano la lista dei beneficiari all'Istituto nazionale della previdenza sociale (INPS), che provvede all'erogazione delle indennità. Le domande sono presentate alla regione, che le istruisce secondo l'ordine cronologico di presentazione delle stesse. L'INPS provvede al monitoraggio del rispetto del limite di spesa, con le risorse umane, strumentali e finanziarie disponibili a legislazione vigente e senza nuovi o maggiori oneri a carico della finanza pubblica, fornendo i risultati dell'attività di monitoraggio al Ministero del lavoro e delle politiche sociali, al Ministero dell'economia e delle finanze e alle regioni Emilia Romagna, Toscana e Umbria.</w:t>
      </w:r>
    </w:p>
    <w:p w:rsidR="0054441C" w:rsidRPr="0054441C" w:rsidRDefault="0054441C" w:rsidP="0054441C">
      <w:pPr>
        <w:pStyle w:val="Style4"/>
        <w:widowControl/>
        <w:tabs>
          <w:tab w:val="left" w:pos="655"/>
        </w:tabs>
        <w:ind w:right="361"/>
        <w:jc w:val="both"/>
        <w:rPr>
          <w:rStyle w:val="FontStyle39"/>
          <w:rFonts w:ascii="Times New Roman" w:hAnsi="Times New Roman" w:cs="Times New Roman"/>
          <w:sz w:val="22"/>
          <w:szCs w:val="22"/>
        </w:rPr>
      </w:pPr>
      <w:r w:rsidRPr="0054441C">
        <w:rPr>
          <w:rStyle w:val="FontStyle39"/>
          <w:rFonts w:ascii="Times New Roman" w:hAnsi="Times New Roman" w:cs="Times New Roman"/>
          <w:sz w:val="22"/>
          <w:szCs w:val="22"/>
        </w:rPr>
        <w:t>4. Per l'indennità pari al trattamento massimo di integrazione salariale di cui al comma 1, è prevista la modalità di pagamento diretto della prestazione da parte dell'Istituto Nazionale della Previdenza Sociale (INPS). Il datore di lavoro è obbligato ad inviare all'Istituto tutti i dati necessari per il pagamento dell'integrazione salariale, secondo le modalità stabilite dell'Istituto, entro 6 mesi dalla fine del periodo di paga in corso alla scadenza del termine di durata della concessione o dalla data del provvedimento di autorizzazione al pagamento da parte dell'INPS se successivo. Trascorso inutilmente tale periodo, il pagamento della prestazione e gli oneri ad essa connessi, rimangono a carico del datore di lavoro inadempiente.</w:t>
      </w:r>
    </w:p>
    <w:p w:rsidR="0054441C" w:rsidRPr="0054441C" w:rsidRDefault="0054441C" w:rsidP="0054441C">
      <w:pPr>
        <w:pStyle w:val="Style4"/>
        <w:widowControl/>
        <w:tabs>
          <w:tab w:val="left" w:pos="655"/>
        </w:tabs>
        <w:ind w:right="361"/>
        <w:jc w:val="both"/>
        <w:rPr>
          <w:rFonts w:ascii="Times New Roman" w:hAnsi="Times New Roman" w:cs="Times New Roman"/>
          <w:color w:val="000000"/>
          <w:sz w:val="22"/>
          <w:szCs w:val="22"/>
        </w:rPr>
      </w:pPr>
      <w:r w:rsidRPr="0054441C">
        <w:rPr>
          <w:rStyle w:val="FontStyle39"/>
          <w:rFonts w:ascii="Times New Roman" w:hAnsi="Times New Roman" w:cs="Times New Roman"/>
          <w:sz w:val="22"/>
          <w:szCs w:val="22"/>
        </w:rPr>
        <w:t xml:space="preserve">5. All'onere derivante dal presente articolo, pari a 10 milioni di euro per l'anno 2019, </w:t>
      </w:r>
      <w:r w:rsidRPr="0054441C">
        <w:rPr>
          <w:rFonts w:ascii="Times New Roman" w:hAnsi="Times New Roman" w:cs="Times New Roman"/>
          <w:sz w:val="22"/>
          <w:szCs w:val="22"/>
        </w:rPr>
        <w:t xml:space="preserve">si provvede a valere sulle disponibilità in conto residui iscritte sul Fondo sociale per occupazione e formazione, di cui all'articolo 18, comma 1, lettera a) del decreto-legge 29 novembre 2008, n. 185, convertito, con modificazioni, dalla legge 28 gennaio 2009, n. 2. </w:t>
      </w:r>
    </w:p>
    <w:p w:rsidR="0054441C" w:rsidRPr="0054441C" w:rsidRDefault="0054441C" w:rsidP="0054441C">
      <w:pPr>
        <w:pStyle w:val="Style4"/>
        <w:widowControl/>
        <w:tabs>
          <w:tab w:val="left" w:pos="655"/>
        </w:tabs>
        <w:rPr>
          <w:rStyle w:val="FontStyle39"/>
          <w:rFonts w:ascii="Times New Roman" w:hAnsi="Times New Roman" w:cs="Times New Roman"/>
          <w:sz w:val="22"/>
          <w:szCs w:val="22"/>
        </w:rPr>
      </w:pPr>
    </w:p>
    <w:p w:rsidR="0054441C" w:rsidRPr="0054441C" w:rsidRDefault="0054441C" w:rsidP="0054441C">
      <w:pPr>
        <w:pStyle w:val="Style2"/>
        <w:widowControl/>
        <w:ind w:left="3785"/>
        <w:jc w:val="both"/>
        <w:rPr>
          <w:rStyle w:val="FontStyle40"/>
          <w:rFonts w:ascii="Times New Roman" w:hAnsi="Times New Roman" w:cs="Times New Roman"/>
          <w:sz w:val="22"/>
          <w:szCs w:val="22"/>
        </w:rPr>
      </w:pPr>
      <w:r w:rsidRPr="0054441C">
        <w:rPr>
          <w:rStyle w:val="FontStyle40"/>
          <w:rFonts w:ascii="Times New Roman" w:hAnsi="Times New Roman" w:cs="Times New Roman"/>
          <w:sz w:val="22"/>
          <w:szCs w:val="22"/>
        </w:rPr>
        <w:t>Relazione illustrativa</w:t>
      </w:r>
    </w:p>
    <w:p w:rsidR="0054441C" w:rsidRPr="0054441C" w:rsidRDefault="0054441C" w:rsidP="0054441C">
      <w:pPr>
        <w:pStyle w:val="Style6"/>
        <w:widowControl/>
        <w:ind w:right="511"/>
        <w:jc w:val="both"/>
        <w:rPr>
          <w:rStyle w:val="FontStyle39"/>
          <w:rFonts w:ascii="Times New Roman" w:hAnsi="Times New Roman" w:cs="Times New Roman"/>
          <w:sz w:val="22"/>
          <w:szCs w:val="22"/>
        </w:rPr>
      </w:pPr>
      <w:r w:rsidRPr="0054441C">
        <w:rPr>
          <w:rStyle w:val="FontStyle39"/>
          <w:rFonts w:ascii="Times New Roman" w:hAnsi="Times New Roman" w:cs="Times New Roman"/>
          <w:sz w:val="22"/>
          <w:szCs w:val="22"/>
        </w:rPr>
        <w:t>Con il presente provvedimento, al comma 1, si tutelano con uno strumento di sostegno al reddito, pari al valore massimo del trattamento CIGS, con la relativa contribuzione figurativa, quei lavoratori che sono stati sospesi dalle imprese che hanno subito una flessione produttiva a seguito dell'evento della chiusura di una parte della SS3 bis Tiberina, per un periodo massimo di 180 giorni a far data dall'evento, risalente al 16.01.2019.</w:t>
      </w:r>
    </w:p>
    <w:p w:rsidR="0054441C" w:rsidRPr="0054441C" w:rsidRDefault="0054441C" w:rsidP="0054441C">
      <w:pPr>
        <w:pStyle w:val="Style6"/>
        <w:widowControl/>
        <w:ind w:right="511"/>
        <w:jc w:val="both"/>
        <w:rPr>
          <w:rStyle w:val="FontStyle39"/>
          <w:rFonts w:ascii="Times New Roman" w:hAnsi="Times New Roman" w:cs="Times New Roman"/>
          <w:sz w:val="22"/>
          <w:szCs w:val="22"/>
        </w:rPr>
      </w:pPr>
      <w:r w:rsidRPr="0054441C">
        <w:rPr>
          <w:rStyle w:val="FontStyle39"/>
          <w:rFonts w:ascii="Times New Roman" w:hAnsi="Times New Roman" w:cs="Times New Roman"/>
          <w:sz w:val="22"/>
          <w:szCs w:val="22"/>
        </w:rPr>
        <w:t>Al comma 2 viene prevista l'indennità, una tantum, pari a 15.000 euro, a soggetto, titolare di collaborazione coordinata e continuativa, di agenzia e di rappresentanza commerciale, dei lavoratori autonomi, ivi compresi i titolari di attività di impresa e professionali, che abbiano dovuto sospendere l'attività per l'evento sopra citato.</w:t>
      </w:r>
    </w:p>
    <w:p w:rsidR="0054441C" w:rsidRPr="0054441C" w:rsidRDefault="0054441C" w:rsidP="0054441C">
      <w:pPr>
        <w:pStyle w:val="Style6"/>
        <w:widowControl/>
        <w:ind w:right="514"/>
        <w:jc w:val="both"/>
        <w:rPr>
          <w:rStyle w:val="FontStyle39"/>
          <w:rFonts w:ascii="Times New Roman" w:hAnsi="Times New Roman" w:cs="Times New Roman"/>
          <w:sz w:val="22"/>
          <w:szCs w:val="22"/>
        </w:rPr>
      </w:pPr>
      <w:r w:rsidRPr="0054441C">
        <w:rPr>
          <w:rStyle w:val="FontStyle39"/>
          <w:rFonts w:ascii="Times New Roman" w:hAnsi="Times New Roman" w:cs="Times New Roman"/>
          <w:sz w:val="22"/>
          <w:szCs w:val="22"/>
        </w:rPr>
        <w:t>Ai commi 3 e 4 viene disciplinata la procedura di autorizzazione delle domande di competenza delle regioni Emilia Romagna, Toscana ed Umbria.</w:t>
      </w:r>
    </w:p>
    <w:p w:rsidR="0054441C" w:rsidRPr="0054441C" w:rsidRDefault="0054441C" w:rsidP="0054441C">
      <w:pPr>
        <w:pStyle w:val="Style7"/>
        <w:widowControl/>
        <w:ind w:right="503"/>
        <w:jc w:val="both"/>
        <w:rPr>
          <w:rStyle w:val="FontStyle39"/>
          <w:rFonts w:ascii="Times New Roman" w:hAnsi="Times New Roman" w:cs="Times New Roman"/>
          <w:sz w:val="22"/>
          <w:szCs w:val="22"/>
        </w:rPr>
      </w:pPr>
      <w:r w:rsidRPr="0054441C">
        <w:rPr>
          <w:rStyle w:val="FontStyle39"/>
          <w:rFonts w:ascii="Times New Roman" w:hAnsi="Times New Roman" w:cs="Times New Roman"/>
          <w:sz w:val="22"/>
          <w:szCs w:val="22"/>
        </w:rPr>
        <w:t>La norma introduce un principio di tendenziale continuità e programmazione nell'adozione degli interventi di sostegno alle imprese che hanno subito una flessione produttiva al fine di consentirne il rilancio da un punto di vista economico.</w:t>
      </w:r>
    </w:p>
    <w:p w:rsidR="0054441C" w:rsidRPr="0054441C" w:rsidRDefault="0054441C" w:rsidP="0054441C">
      <w:pPr>
        <w:pStyle w:val="Style7"/>
        <w:widowControl/>
        <w:ind w:right="461"/>
        <w:jc w:val="both"/>
        <w:rPr>
          <w:rStyle w:val="FontStyle39"/>
          <w:rFonts w:ascii="Times New Roman" w:hAnsi="Times New Roman" w:cs="Times New Roman"/>
          <w:sz w:val="22"/>
          <w:szCs w:val="22"/>
        </w:rPr>
      </w:pPr>
      <w:r w:rsidRPr="0054441C">
        <w:rPr>
          <w:rStyle w:val="FontStyle39"/>
          <w:rFonts w:ascii="Times New Roman" w:hAnsi="Times New Roman" w:cs="Times New Roman"/>
          <w:sz w:val="22"/>
          <w:szCs w:val="22"/>
        </w:rPr>
        <w:t>L'iniziativa, espressione del principio fondamentale di buon andamento e dei criteri di efficacia e di trasparenza dell'agire amministrativo, raccoglie anche le istanze del mondo imprenditoriale, che nella pianificazione dei propri investimenti avvertono l'esigenza di una maggiore sostegno delle istituzioni pubbliche.</w:t>
      </w:r>
    </w:p>
    <w:p w:rsidR="0054441C" w:rsidRPr="0054441C" w:rsidRDefault="0054441C" w:rsidP="0054441C">
      <w:pPr>
        <w:pStyle w:val="Style2"/>
        <w:widowControl/>
        <w:ind w:left="3946"/>
        <w:rPr>
          <w:rFonts w:ascii="Times New Roman" w:hAnsi="Times New Roman" w:cs="Times New Roman"/>
          <w:sz w:val="22"/>
          <w:szCs w:val="22"/>
        </w:rPr>
      </w:pPr>
    </w:p>
    <w:p w:rsidR="0054441C" w:rsidRPr="0054441C" w:rsidRDefault="0054441C" w:rsidP="0054441C">
      <w:pPr>
        <w:pStyle w:val="Style2"/>
        <w:widowControl/>
        <w:ind w:left="3946"/>
        <w:rPr>
          <w:rStyle w:val="FontStyle40"/>
          <w:rFonts w:ascii="Times New Roman" w:hAnsi="Times New Roman" w:cs="Times New Roman"/>
          <w:sz w:val="22"/>
          <w:szCs w:val="22"/>
        </w:rPr>
      </w:pPr>
      <w:r w:rsidRPr="0054441C">
        <w:rPr>
          <w:rStyle w:val="FontStyle40"/>
          <w:rFonts w:ascii="Times New Roman" w:hAnsi="Times New Roman" w:cs="Times New Roman"/>
          <w:sz w:val="22"/>
          <w:szCs w:val="22"/>
        </w:rPr>
        <w:t>Relazione tecnica</w:t>
      </w:r>
    </w:p>
    <w:p w:rsidR="0054441C" w:rsidRPr="0054441C" w:rsidRDefault="0054441C" w:rsidP="0054441C">
      <w:pPr>
        <w:pStyle w:val="Style7"/>
        <w:widowControl/>
        <w:ind w:right="361"/>
        <w:jc w:val="both"/>
        <w:rPr>
          <w:rStyle w:val="FontStyle39"/>
          <w:rFonts w:ascii="Times New Roman" w:hAnsi="Times New Roman" w:cs="Times New Roman"/>
          <w:sz w:val="22"/>
          <w:szCs w:val="22"/>
        </w:rPr>
      </w:pPr>
      <w:r w:rsidRPr="0054441C">
        <w:rPr>
          <w:rStyle w:val="FontStyle39"/>
          <w:rFonts w:ascii="Times New Roman" w:hAnsi="Times New Roman" w:cs="Times New Roman"/>
          <w:sz w:val="22"/>
          <w:szCs w:val="22"/>
        </w:rPr>
        <w:t>La norma prevede l'attivazione di strumenti di sostegno alle imprese e al reddito dei lavoratori, per le tre Regioni interessate (Toscana, Emilia-Romagna e Umbria), che comporta per l’anno 2019, secondo la stima effettuata dall’INPS sulla base delle informazioni ricevute dalle medesime Regioni, un onere finanziario pari a circa 10 milioni di euro.</w:t>
      </w:r>
    </w:p>
    <w:p w:rsidR="0054441C" w:rsidRPr="0054441C" w:rsidRDefault="0054441C" w:rsidP="0054441C">
      <w:pPr>
        <w:ind w:right="361"/>
        <w:rPr>
          <w:rFonts w:cs="Times New Roman"/>
        </w:rPr>
      </w:pPr>
      <w:r w:rsidRPr="0054441C">
        <w:rPr>
          <w:rStyle w:val="FontStyle39"/>
          <w:rFonts w:ascii="Times New Roman" w:hAnsi="Times New Roman" w:cs="Times New Roman"/>
          <w:sz w:val="22"/>
          <w:szCs w:val="22"/>
        </w:rPr>
        <w:t>Ai predetti oneri si provvede a valere sul Fondo sociale per l'occupazione e la formazione, di cui all'articolo 18, comma 1, lettera a), del decreto-legge 29 novembre 2008, n. 185, convertito, con modificazioni, dalla legge 28 gennaio 2009, n. 2, che presenta le necessarie disponibilità finanziarie</w:t>
      </w:r>
      <w:r w:rsidRPr="0054441C">
        <w:rPr>
          <w:rFonts w:cs="Times New Roman"/>
        </w:rPr>
        <w:t xml:space="preserve"> in conto residui relativamente a risorse stanziate su interventi che hanno esaurito i propri effetti.</w:t>
      </w:r>
    </w:p>
    <w:p w:rsidR="0054441C" w:rsidRPr="0054441C" w:rsidRDefault="0054441C" w:rsidP="0054441C">
      <w:pPr>
        <w:ind w:right="361"/>
        <w:rPr>
          <w:rStyle w:val="FontStyle62"/>
          <w:rFonts w:ascii="Times New Roman" w:hAnsi="Times New Roman" w:cs="Times New Roman"/>
          <w:sz w:val="22"/>
          <w:szCs w:val="22"/>
        </w:rPr>
      </w:pPr>
      <w:r w:rsidRPr="0054441C">
        <w:rPr>
          <w:rStyle w:val="FontStyle39"/>
          <w:rFonts w:ascii="Times New Roman" w:hAnsi="Times New Roman" w:cs="Times New Roman"/>
          <w:sz w:val="22"/>
          <w:szCs w:val="22"/>
        </w:rPr>
        <w:t>Ai fini della compensazione in termini di indebitamento e fabbisogno netto con riferimento all’utilizzo di risorse finanziarie in conto residui si provvede quanto a 6 milioni di euro per l’anno 2019 ai sensi dell’articolo contenente</w:t>
      </w:r>
      <w:r w:rsidRPr="0054441C">
        <w:rPr>
          <w:rFonts w:cs="Times New Roman"/>
        </w:rPr>
        <w:t xml:space="preserve"> le disposizioni finanziarie del presente decreto.</w:t>
      </w:r>
    </w:p>
    <w:p w:rsidR="0054441C" w:rsidRPr="002279E2" w:rsidRDefault="0054441C" w:rsidP="0032315D">
      <w:pPr>
        <w:ind w:right="-1"/>
        <w:rPr>
          <w:rFonts w:cs="Times New Roman"/>
          <w:szCs w:val="24"/>
        </w:rPr>
      </w:pPr>
    </w:p>
    <w:p w:rsidR="0056202A" w:rsidRPr="002279E2" w:rsidRDefault="0056202A" w:rsidP="0056202A">
      <w:pPr>
        <w:pStyle w:val="Titolo2"/>
      </w:pPr>
      <w:bookmarkStart w:id="77" w:name="_Toc6937372"/>
      <w:r w:rsidRPr="00E62064">
        <w:t>Art</w:t>
      </w:r>
      <w:r w:rsidR="0078344B">
        <w:t>icolo</w:t>
      </w:r>
      <w:r w:rsidRPr="00E62064">
        <w:t xml:space="preserve"> </w:t>
      </w:r>
      <w:r w:rsidR="009A2C24">
        <w:t>41</w:t>
      </w:r>
      <w:r w:rsidRPr="00E62064">
        <w:br/>
        <w:t>(Misure in materia di aree di crisi industriale complessa)</w:t>
      </w:r>
      <w:bookmarkEnd w:id="77"/>
    </w:p>
    <w:p w:rsidR="00D0289B" w:rsidRPr="002279E2" w:rsidRDefault="00D0289B" w:rsidP="00D0289B">
      <w:pPr>
        <w:rPr>
          <w:rFonts w:cs="Times New Roman"/>
          <w:szCs w:val="24"/>
        </w:rPr>
      </w:pPr>
      <w:r w:rsidRPr="002279E2">
        <w:rPr>
          <w:rFonts w:cs="Times New Roman"/>
          <w:szCs w:val="24"/>
        </w:rPr>
        <w:t>1. Le disposizioni di cui all’articolo 25-</w:t>
      </w:r>
      <w:r w:rsidRPr="002279E2">
        <w:rPr>
          <w:rFonts w:cs="Times New Roman"/>
          <w:i/>
          <w:szCs w:val="24"/>
        </w:rPr>
        <w:t>ter</w:t>
      </w:r>
      <w:r w:rsidRPr="002279E2">
        <w:rPr>
          <w:rFonts w:cs="Times New Roman"/>
          <w:szCs w:val="24"/>
        </w:rPr>
        <w:t xml:space="preserve"> del decreto-legge 23 ottobre 2018, n. 119, convertito, con modificazioni, dalla legge 17 dicembre 2018, n. 136, sono prorogate nel 2019, alle medesime condizioni, per ulteriori 12 mesi e si applicano, altresì, anche ai lavoratori che hanno cessato o cessano la mobilità ordinaria o in deroga entro il 31 dicembre 2019 nel limite di spesa di 16 milioni di euro per l’anno 2019 e di 10 milioni di euro per l’anno 2020.</w:t>
      </w:r>
    </w:p>
    <w:p w:rsidR="00D0289B" w:rsidRPr="002279E2" w:rsidRDefault="00D0289B" w:rsidP="00D0289B">
      <w:pPr>
        <w:rPr>
          <w:rFonts w:cs="Times New Roman"/>
          <w:szCs w:val="24"/>
        </w:rPr>
      </w:pPr>
      <w:r w:rsidRPr="002279E2">
        <w:rPr>
          <w:rFonts w:cs="Times New Roman"/>
          <w:szCs w:val="24"/>
        </w:rPr>
        <w:t>2. All’onere derivante dall’applicazione del comma 1 pari a 16 milioni di euro per l’anno 2019 e a 10 milioni di euro per l’anno 2020 si provvede a valere sulle disponibilità in conto residui iscritte sul Fondo sociale per occupazione e formazione, di cui all'articolo 18, comma 1, lettera a) del decreto-legge 29 novembre 2008, n. 185, convertito, con modificazioni, dalla legge 28 gennaio 2009, n. 2.</w:t>
      </w:r>
    </w:p>
    <w:p w:rsidR="00D0289B" w:rsidRPr="002279E2" w:rsidRDefault="00D0289B" w:rsidP="00D0289B">
      <w:pPr>
        <w:rPr>
          <w:rFonts w:cs="Times New Roman"/>
          <w:szCs w:val="24"/>
        </w:rPr>
      </w:pPr>
    </w:p>
    <w:p w:rsidR="00D0289B" w:rsidRPr="002279E2" w:rsidRDefault="00D0289B" w:rsidP="00D0289B">
      <w:pPr>
        <w:jc w:val="center"/>
        <w:rPr>
          <w:rFonts w:cs="Times New Roman"/>
          <w:b/>
          <w:szCs w:val="24"/>
        </w:rPr>
      </w:pPr>
      <w:r w:rsidRPr="002279E2">
        <w:rPr>
          <w:rFonts w:cs="Times New Roman"/>
          <w:b/>
          <w:szCs w:val="24"/>
        </w:rPr>
        <w:t>Relazione illustrativa</w:t>
      </w:r>
    </w:p>
    <w:p w:rsidR="00D0289B" w:rsidRPr="002279E2" w:rsidRDefault="00D0289B" w:rsidP="00D0289B">
      <w:pPr>
        <w:rPr>
          <w:rFonts w:cs="Times New Roman"/>
          <w:szCs w:val="24"/>
        </w:rPr>
      </w:pPr>
      <w:r w:rsidRPr="002279E2">
        <w:rPr>
          <w:rFonts w:cs="Times New Roman"/>
          <w:szCs w:val="24"/>
        </w:rPr>
        <w:t xml:space="preserve">Con il primo punto del presente articolato si consente di autorizzare i trattamenti di mobilità in deroga di cui all’articolo 25-ter della legge 17 dicembre 2018, n. 136, di conversione, con modificazioni, del decreto-legge 23 ottobre 2018, n. 119, anche per i lavoratori che abbiano cessato un precedente trattamento di mobilità ordinaria o in deroga successivamente al 31.12.2018 e sino al 31.12.2019. </w:t>
      </w:r>
    </w:p>
    <w:p w:rsidR="00D0289B" w:rsidRPr="002279E2" w:rsidRDefault="00D0289B" w:rsidP="00D0289B">
      <w:pPr>
        <w:rPr>
          <w:rFonts w:cs="Times New Roman"/>
          <w:szCs w:val="24"/>
        </w:rPr>
      </w:pPr>
      <w:r w:rsidRPr="002279E2">
        <w:rPr>
          <w:rFonts w:cs="Times New Roman"/>
          <w:szCs w:val="24"/>
        </w:rPr>
        <w:t>Tale norma riguarda il trattamento di mobilità in deroga di cui all’articolo 1, comma 142, della legge 27 dicembre n. 205, come modificato all’articolo 25-ter della legge 17 dicembre 2018, n. 136, riferito alle aree di crisi industriale complessa riconosciute, ai sensi dell'art. 27 del decreto-legge 22 giugno 2012, n. 83, convertito, con modificazioni, dalla legge 7 agosto 2012, n. 134, nel periodo dall'8 ottobre 2016 al 30 novembre 2017, vale a dire Venezia-Porto Marghera (DM 8.03.2017) e Campania, Poli industriali di Acerra-Marcianise-Airola, Battipaglia-Solofra, Castellammare-Torre Annunziata (DM 22.11.2017).</w:t>
      </w:r>
    </w:p>
    <w:p w:rsidR="00D0289B" w:rsidRPr="002279E2" w:rsidRDefault="00D0289B" w:rsidP="00D0289B">
      <w:pPr>
        <w:rPr>
          <w:rFonts w:cs="Times New Roman"/>
          <w:szCs w:val="24"/>
        </w:rPr>
      </w:pPr>
      <w:r w:rsidRPr="002279E2">
        <w:rPr>
          <w:rFonts w:cs="Times New Roman"/>
          <w:szCs w:val="24"/>
        </w:rPr>
        <w:t>Si rappresenta, a tal proposito, che l’estensione del termine sino al 31.12.2019, quindi dal 22.11.2017 al 31.12.2019, potrebbe determinare la conseguenza di ampliare la platea di lavoratori beneficiari, oltre ai destinatari di una proroga della mobilità in deroga autorizzata in virtù della norma di cui all’articolo 25-ter della legge 17 dicembre 2018, n. 136, anche a soggetti nuovi precedentemente destinatari di mobilità ordinaria.</w:t>
      </w:r>
    </w:p>
    <w:p w:rsidR="00D0289B" w:rsidRPr="002279E2" w:rsidRDefault="00D0289B" w:rsidP="00D0289B">
      <w:pPr>
        <w:rPr>
          <w:rFonts w:cs="Times New Roman"/>
          <w:szCs w:val="24"/>
        </w:rPr>
      </w:pPr>
      <w:r w:rsidRPr="002279E2">
        <w:rPr>
          <w:rFonts w:cs="Times New Roman"/>
          <w:szCs w:val="24"/>
        </w:rPr>
        <w:t>Tale estensione, quindi, si pone come un elemento di novità rispetto a quanto sinora previsto per le aree di crisi industriale complesse di cui all’articolo 1, comma 282, della legge30 dicembre 2018, n. 145, per le quali è prevista, per il 2019, esclusivamente la possibilità di una proroga del trattamento di mobilità in deroga, senza soluzione di continuità, per i lavoratori individuati dall’articolo 53-ter del decreto-legge 24 aprile 2017, n. 50, convertito con modificazioni, dalla legge 21 giugno 2017, n. 96, vale a dire coloro che abbiano cessato un precedente trattamento di mobilità ordinaria o in deroga al 1 gennaio 2017.</w:t>
      </w:r>
    </w:p>
    <w:p w:rsidR="00D0289B" w:rsidRPr="002279E2" w:rsidRDefault="00D0289B" w:rsidP="00D0289B">
      <w:pPr>
        <w:pStyle w:val="Paragrafoelenco"/>
        <w:spacing w:after="0" w:line="240" w:lineRule="auto"/>
        <w:ind w:left="0"/>
        <w:rPr>
          <w:rFonts w:ascii="Times New Roman" w:hAnsi="Times New Roman"/>
          <w:szCs w:val="24"/>
          <w:lang w:val="it-IT"/>
        </w:rPr>
      </w:pPr>
      <w:r w:rsidRPr="002279E2">
        <w:rPr>
          <w:rFonts w:ascii="Times New Roman" w:hAnsi="Times New Roman"/>
          <w:szCs w:val="24"/>
          <w:lang w:val="it-IT"/>
        </w:rPr>
        <w:t xml:space="preserve">La </w:t>
      </w:r>
      <w:r w:rsidRPr="002279E2">
        <w:rPr>
          <w:rFonts w:ascii="Times New Roman" w:hAnsi="Times New Roman"/>
          <w:i/>
          <w:szCs w:val="24"/>
          <w:lang w:val="it-IT"/>
        </w:rPr>
        <w:t xml:space="preserve">ratio </w:t>
      </w:r>
      <w:r w:rsidRPr="002279E2">
        <w:rPr>
          <w:rFonts w:ascii="Times New Roman" w:hAnsi="Times New Roman"/>
          <w:szCs w:val="24"/>
          <w:lang w:val="it-IT"/>
        </w:rPr>
        <w:t xml:space="preserve">dell’intervento è volta a valorizzare con gli strumenti di sostegno al reddito di cui alle disposizioni vigenti le aree di crisi industriali complesse sopra citate, al fine di sostenere l’attività imprenditoriale delle aziende site in tali aree e di stimolare, in un’ottica di crescita, opportune iniziative produttive. </w:t>
      </w:r>
    </w:p>
    <w:p w:rsidR="00D0289B" w:rsidRPr="002279E2" w:rsidRDefault="00D0289B" w:rsidP="00D0289B">
      <w:pPr>
        <w:rPr>
          <w:rFonts w:cs="Times New Roman"/>
          <w:szCs w:val="24"/>
        </w:rPr>
      </w:pPr>
    </w:p>
    <w:p w:rsidR="00D0289B" w:rsidRPr="002279E2" w:rsidRDefault="00D0289B" w:rsidP="00D0289B">
      <w:pPr>
        <w:jc w:val="center"/>
        <w:rPr>
          <w:rFonts w:cs="Times New Roman"/>
          <w:b/>
          <w:szCs w:val="24"/>
        </w:rPr>
      </w:pPr>
      <w:r w:rsidRPr="002279E2">
        <w:rPr>
          <w:rFonts w:cs="Times New Roman"/>
          <w:b/>
          <w:szCs w:val="24"/>
        </w:rPr>
        <w:t>Relazione tecnica</w:t>
      </w:r>
    </w:p>
    <w:p w:rsidR="00D0289B" w:rsidRPr="002279E2" w:rsidRDefault="00D0289B" w:rsidP="00D0289B">
      <w:pPr>
        <w:rPr>
          <w:rFonts w:cs="Times New Roman"/>
          <w:szCs w:val="24"/>
        </w:rPr>
      </w:pPr>
      <w:r w:rsidRPr="002279E2">
        <w:rPr>
          <w:rFonts w:cs="Times New Roman"/>
          <w:szCs w:val="24"/>
        </w:rPr>
        <w:t>All’onere derivante dall’applicazione del presente emendamento pari a 16 milioni di euro per l’anno 2019 e a 10 milioni di euro per l’anno 2020 si provvede a valere sul Fondo sociale per occupazione e formazione, di cui all'articolo 18, comma 1, lettera a) del decreto-legge 29 novembre 2008, n. 185, convertito, con modificazioni, dalla legge 28 gennaio 2009, n. 2, che presenta le necessarie disponibilità finanziarie in conto residui relativamente a risorse stanziate su interventi che hanno esaurito i propri effetti.</w:t>
      </w:r>
    </w:p>
    <w:p w:rsidR="00D0289B" w:rsidRPr="002279E2" w:rsidRDefault="00D0289B" w:rsidP="00D0289B">
      <w:pPr>
        <w:rPr>
          <w:rFonts w:cs="Times New Roman"/>
          <w:szCs w:val="24"/>
        </w:rPr>
      </w:pPr>
      <w:r w:rsidRPr="002279E2">
        <w:rPr>
          <w:rFonts w:cs="Times New Roman"/>
          <w:szCs w:val="24"/>
        </w:rPr>
        <w:t>Per quanto concerne l’area di crisi industriale complessa di Venezia-Porto Marghera, si stima una platea di lavoratori interessati di circa 530 unità, per un fabbisogno complessivo valutato in circa 11 milioni di euro per il biennio 2019-2020, valutabili in 7 milioni di euro per l’anno 2019 e 4 milioni di euro per l’anno 2020. Per la Campania, area dei poli industriali di Acerra-Marcianise-Airola, Battipaglia-Solofra, Castellammare-Torre Annunziata, il numero dei lavoratori interessati è stimato in un numero tra le ottocento e le novecento unità divisi per le province campane, con un onere finanziario di circa 15 milioni di euro</w:t>
      </w:r>
      <w:r w:rsidRPr="002279E2">
        <w:rPr>
          <w:rFonts w:cs="Times New Roman"/>
          <w:sz w:val="20"/>
        </w:rPr>
        <w:t xml:space="preserve"> </w:t>
      </w:r>
      <w:r w:rsidRPr="002279E2">
        <w:rPr>
          <w:rFonts w:cs="Times New Roman"/>
          <w:szCs w:val="24"/>
        </w:rPr>
        <w:t>per il biennio 2019-2020, valutabili in 9 milioni di euro per l’anno 2019 e 6 milioni di euro per l’anno 2020.</w:t>
      </w:r>
    </w:p>
    <w:p w:rsidR="00D0289B" w:rsidRDefault="00D0289B" w:rsidP="00D0289B">
      <w:pPr>
        <w:rPr>
          <w:rFonts w:cs="Times New Roman"/>
          <w:szCs w:val="24"/>
        </w:rPr>
      </w:pPr>
      <w:r w:rsidRPr="002279E2">
        <w:rPr>
          <w:rFonts w:cs="Times New Roman"/>
          <w:szCs w:val="24"/>
        </w:rPr>
        <w:t>Ai fini della compensazione in termini di indebitamento e fabbisogno netto con riferimento all’utilizzo di risorse finanziarie in conto residui si provvede quanto a 9,6 milioni di euro per l’anno 2019 e 6 milioni di euro per l’anno 2020 ai sensi dell’articolo delle disposizioni finanziarie del presente decreto.</w:t>
      </w:r>
    </w:p>
    <w:p w:rsidR="00BD3F09" w:rsidRDefault="00BD3F09" w:rsidP="00D0289B">
      <w:pPr>
        <w:rPr>
          <w:rFonts w:cs="Times New Roman"/>
          <w:szCs w:val="24"/>
        </w:rPr>
      </w:pPr>
    </w:p>
    <w:p w:rsidR="00BD3F09" w:rsidRDefault="00BD3F09" w:rsidP="00BD3F09">
      <w:pPr>
        <w:pStyle w:val="Titolo2"/>
      </w:pPr>
      <w:bookmarkStart w:id="78" w:name="_Toc6937373"/>
      <w:r>
        <w:t>Art</w:t>
      </w:r>
      <w:r w:rsidR="0078344B">
        <w:t>icolo</w:t>
      </w:r>
      <w:r>
        <w:t xml:space="preserve"> </w:t>
      </w:r>
      <w:r w:rsidR="009A2C24">
        <w:t>42</w:t>
      </w:r>
      <w:r>
        <w:br/>
      </w:r>
      <w:r w:rsidRPr="00386E61">
        <w:t>(Controllo degli strumenti di misura in servizio e sulla vigilanza sugli strumenti di misura conformi alla normativa nazionale ed europea)</w:t>
      </w:r>
      <w:bookmarkEnd w:id="78"/>
    </w:p>
    <w:p w:rsidR="00BD3F09" w:rsidRPr="00E62064" w:rsidRDefault="00BD3F09" w:rsidP="00E62064">
      <w:pPr>
        <w:rPr>
          <w:rFonts w:cs="Times New Roman"/>
          <w:szCs w:val="24"/>
        </w:rPr>
      </w:pPr>
      <w:r w:rsidRPr="00E62064">
        <w:rPr>
          <w:rFonts w:cs="Times New Roman"/>
          <w:szCs w:val="24"/>
        </w:rPr>
        <w:t>1. Il periodo transitorio previsto all’articolo 18, comma 2, secondo periodo del decreto del Ministro delle sviluppo economico 21 aprile 2017, n. 93, è prorogato al 30 giugno 2020, per gli organismi abilitati ad effettuare verificazioni periodiche in conformità alle disposizioni abrogate dall’articolo 17</w:t>
      </w:r>
      <w:r w:rsidR="00445AC8">
        <w:rPr>
          <w:rFonts w:cs="Times New Roman"/>
          <w:szCs w:val="24"/>
        </w:rPr>
        <w:t xml:space="preserve"> del predetto decreto</w:t>
      </w:r>
      <w:r w:rsidRPr="00E62064">
        <w:rPr>
          <w:rFonts w:cs="Times New Roman"/>
          <w:szCs w:val="24"/>
        </w:rPr>
        <w:t xml:space="preserve">, che, alla data del 18 marzo 2019, dimostrino </w:t>
      </w:r>
      <w:r w:rsidR="00445AC8">
        <w:rPr>
          <w:rFonts w:cs="Times New Roman"/>
          <w:szCs w:val="24"/>
        </w:rPr>
        <w:t xml:space="preserve">l’avvenuta </w:t>
      </w:r>
      <w:r w:rsidRPr="00E62064">
        <w:rPr>
          <w:rFonts w:cs="Times New Roman"/>
          <w:szCs w:val="24"/>
        </w:rPr>
        <w:t xml:space="preserve">accettazione formale dell’offerta economica di accreditamento. </w:t>
      </w:r>
    </w:p>
    <w:p w:rsidR="00BD3F09" w:rsidRPr="00E62064" w:rsidRDefault="00BD3F09" w:rsidP="00E62064">
      <w:pPr>
        <w:rPr>
          <w:rFonts w:cs="Times New Roman"/>
          <w:szCs w:val="24"/>
        </w:rPr>
      </w:pPr>
      <w:r w:rsidRPr="00E62064">
        <w:rPr>
          <w:rFonts w:cs="Times New Roman"/>
          <w:szCs w:val="24"/>
        </w:rPr>
        <w:t xml:space="preserve">2. Gli organismi che non hanno presentato domanda di accreditamento entro il 18 marzo 2019 possono continuare ad operare fino al 30 giugno 2020 a decorrere dalla data della domanda, da presentarsi entro il termine del 30 settembre 2019, dimostrando </w:t>
      </w:r>
      <w:r w:rsidR="00445AC8">
        <w:rPr>
          <w:rFonts w:cs="Times New Roman"/>
          <w:szCs w:val="24"/>
        </w:rPr>
        <w:t xml:space="preserve">l’avvenuta </w:t>
      </w:r>
      <w:r w:rsidR="00445AC8" w:rsidRPr="00E62064">
        <w:rPr>
          <w:rFonts w:cs="Times New Roman"/>
          <w:szCs w:val="24"/>
        </w:rPr>
        <w:t>accettazione</w:t>
      </w:r>
      <w:r w:rsidRPr="00E62064">
        <w:rPr>
          <w:rFonts w:cs="Times New Roman"/>
          <w:szCs w:val="24"/>
        </w:rPr>
        <w:t xml:space="preserve"> formale dell’offerta economica relativa all’accreditamento. </w:t>
      </w:r>
    </w:p>
    <w:p w:rsidR="00BD3F09" w:rsidRPr="00E62064" w:rsidRDefault="00BD3F09" w:rsidP="00E62064">
      <w:pPr>
        <w:rPr>
          <w:rFonts w:cs="Times New Roman"/>
          <w:szCs w:val="24"/>
        </w:rPr>
      </w:pPr>
      <w:r w:rsidRPr="00E62064">
        <w:rPr>
          <w:rFonts w:cs="Times New Roman"/>
          <w:szCs w:val="24"/>
        </w:rPr>
        <w:t>3. Le disposizioni di cui al comma 1, sono applicate fino al nuovo esercizio delle competenze regolamentari del Ministro dello sviluppo economico, ai sensi dell’articolo 17, comma 3, della legge 23 agosto 1988, n. 400, nella materia disciplinata dal decreto del Ministro dello sviluppo economico 21 aprile 2017, n. 93.</w:t>
      </w:r>
    </w:p>
    <w:p w:rsidR="00BD3F09" w:rsidRPr="00E62064" w:rsidRDefault="00BD3F09" w:rsidP="00E62064">
      <w:pPr>
        <w:rPr>
          <w:rFonts w:cs="Times New Roman"/>
          <w:szCs w:val="24"/>
        </w:rPr>
      </w:pPr>
    </w:p>
    <w:p w:rsidR="00BD3F09" w:rsidRPr="00E62064" w:rsidRDefault="00BD3F09" w:rsidP="00E62064">
      <w:pPr>
        <w:jc w:val="center"/>
        <w:rPr>
          <w:rFonts w:cs="Times New Roman"/>
          <w:b/>
          <w:szCs w:val="24"/>
        </w:rPr>
      </w:pPr>
      <w:r w:rsidRPr="00E62064">
        <w:rPr>
          <w:rFonts w:cs="Times New Roman"/>
          <w:b/>
          <w:szCs w:val="24"/>
        </w:rPr>
        <w:t>Relazione</w:t>
      </w:r>
    </w:p>
    <w:p w:rsidR="00BD3F09" w:rsidRPr="00E62064" w:rsidRDefault="00BD3F09" w:rsidP="00E62064">
      <w:pPr>
        <w:rPr>
          <w:rFonts w:cs="Times New Roman"/>
          <w:szCs w:val="24"/>
        </w:rPr>
      </w:pPr>
      <w:r w:rsidRPr="00E62064">
        <w:rPr>
          <w:rFonts w:cs="Times New Roman"/>
          <w:szCs w:val="24"/>
        </w:rPr>
        <w:t>Nella G. U. n. 141 del 20 giugno 2017 è stato pubblicato il “Regolamento recante la disciplina attuativa della normativa sui controlli degli strumenti di misura in servizio e sulla vigilanza sugli strumenti di misura conformi alla normativa nazionale e europea” (Decreto 21 aprile 2017, n. 93), provvedimento con cui il Ministero dello Sviluppo Economico ha disposto la codifica ed integrazione della normativa vigente in materia di strumenti di misura nell’ottica di semplificare, rendere omogeneo ed innovare il complesso quadro normativo di settore.</w:t>
      </w:r>
    </w:p>
    <w:p w:rsidR="00BD3F09" w:rsidRPr="00E62064" w:rsidRDefault="00BD3F09" w:rsidP="00E62064">
      <w:pPr>
        <w:rPr>
          <w:rFonts w:cs="Times New Roman"/>
          <w:szCs w:val="24"/>
        </w:rPr>
      </w:pPr>
      <w:r w:rsidRPr="00E62064">
        <w:rPr>
          <w:rFonts w:cs="Times New Roman"/>
          <w:szCs w:val="24"/>
        </w:rPr>
        <w:t>Il Decreto, in vigore dal 18 settembre 2017, ha introdotto importanti novità, tra cui l’estensione della disciplina dei controlli metrologici a tutti gli strumenti di misura utilizzati per funzioni di misura legale – ovvero quella funzione “giustificata da motivi di interesse pubblico, sanità pubblica, sicurezza pubblica, ordine pubblico, protezione dell’ambiente, tutela dei consumatori, imposizione di tasse e di diritti e lealtà delle transazioni commerciali”.</w:t>
      </w:r>
    </w:p>
    <w:p w:rsidR="00BD3F09" w:rsidRPr="00E62064" w:rsidRDefault="00BD3F09" w:rsidP="00E62064">
      <w:pPr>
        <w:rPr>
          <w:rFonts w:cs="Times New Roman"/>
          <w:szCs w:val="24"/>
        </w:rPr>
      </w:pPr>
      <w:r w:rsidRPr="00E62064">
        <w:rPr>
          <w:rFonts w:cs="Times New Roman"/>
          <w:szCs w:val="24"/>
        </w:rPr>
        <w:t xml:space="preserve">Il presente articolo dispone la proroga al 30 giugno 2020 del periodo transitorio di 18 mesi, previsto all'articolo 18, comma 2, secondo alinea del precitato decreto per gli organismi accreditati ad effettuare verificazioni periodiche in conformità alle disposizioni abrogate dall’art. 17 terminato alla data del 18 marzo 2019. La norma che si propone prevede per gli organismi che alla data del 18 marzo 2019 hanno presentato domanda di accreditamento la proroga ad effettuare le predette verifiche periodiche in conformità alla previgente disciplina, a condizione che abbiano almeno accettato formalmente l’offerta economica relativa all’accreditamento. Per gli organismi che non hanno presentato domanda di accreditamento entro il 18 marzo 2019 si prevede che possano continuare ad operare in conformità alla normativa previgente fino alla predetta data del 30 giugno 2020 a decorrere dalla data di presentazione della domanda, da presentarsi entro il termine del 30 settembre 2019, dimostrando il requisito dell’accettazione formale dell’offerta economica relativa all’accreditamento. </w:t>
      </w:r>
    </w:p>
    <w:p w:rsidR="00BD3F09" w:rsidRPr="00E62064" w:rsidRDefault="00BD3F09" w:rsidP="00E62064">
      <w:pPr>
        <w:rPr>
          <w:rFonts w:cs="Times New Roman"/>
          <w:szCs w:val="24"/>
        </w:rPr>
      </w:pPr>
      <w:r w:rsidRPr="00E62064">
        <w:rPr>
          <w:rFonts w:cs="Times New Roman"/>
          <w:szCs w:val="24"/>
        </w:rPr>
        <w:t>Le suddette disposizioni sono applicate fino al nuovo esercizio delle competenze regolamentari del Ministro dello sviluppo economico, ai sensi dell'articolo 17, comma 3, della legge 23 agosto 1988, n. 400, nella materia disciplinata dal decreto n. 93, del 2017.</w:t>
      </w:r>
    </w:p>
    <w:p w:rsidR="00BD3F09" w:rsidRPr="00E62064" w:rsidRDefault="00BD3F09" w:rsidP="00E62064">
      <w:pPr>
        <w:rPr>
          <w:rFonts w:cs="Times New Roman"/>
          <w:szCs w:val="24"/>
        </w:rPr>
      </w:pPr>
      <w:r w:rsidRPr="00E62064">
        <w:rPr>
          <w:rFonts w:cs="Times New Roman"/>
          <w:szCs w:val="24"/>
        </w:rPr>
        <w:t xml:space="preserve">Ciò in considerazione della avvenuta scadenza del periodo transitorio di 18 mesi (18 marzo 2019), in seguito alla quale il settore di attività della verificazione periodica non risulterà servito, stante l’elevatissimo numero di strumenti di misura di varie tipologie, da un numero adeguato di Organismi, anche  in termini di copertura territoriale. </w:t>
      </w:r>
    </w:p>
    <w:p w:rsidR="00BD3F09" w:rsidRPr="00E62064" w:rsidRDefault="00BD3F09" w:rsidP="00E62064">
      <w:pPr>
        <w:rPr>
          <w:rFonts w:cs="Times New Roman"/>
          <w:szCs w:val="24"/>
        </w:rPr>
      </w:pPr>
      <w:r w:rsidRPr="00E62064">
        <w:rPr>
          <w:rFonts w:cs="Times New Roman"/>
          <w:szCs w:val="24"/>
        </w:rPr>
        <w:t>Infatti, secondo i dati più recenti a disposizione, ad oggi, ACCREDIA ha accreditato solo circa 60 Organismi, rispetto ai circa 370 Organismi operanti nel periodo transitorio  e a fronte dei circa 500 riconoscimenti effettuati da Camere di commercio e Unioncamere.</w:t>
      </w:r>
    </w:p>
    <w:p w:rsidR="00BD3F09" w:rsidRPr="00E62064" w:rsidRDefault="00BD3F09" w:rsidP="00E62064">
      <w:pPr>
        <w:rPr>
          <w:rFonts w:cs="Times New Roman"/>
          <w:szCs w:val="24"/>
        </w:rPr>
      </w:pPr>
      <w:r w:rsidRPr="00E62064">
        <w:rPr>
          <w:rFonts w:cs="Times New Roman"/>
          <w:szCs w:val="24"/>
        </w:rPr>
        <w:t>La disposizione normativa non comporta nuovi o maggiori oneri a carico della finanza pubblica.</w:t>
      </w:r>
    </w:p>
    <w:p w:rsidR="00BD3F09" w:rsidRPr="00BD3F09" w:rsidRDefault="00BD3F09" w:rsidP="00BD3F09">
      <w:pPr>
        <w:rPr>
          <w:lang w:eastAsia="it-IT"/>
        </w:rPr>
      </w:pPr>
    </w:p>
    <w:p w:rsidR="00E17C97" w:rsidRPr="002279E2" w:rsidRDefault="00E17C97" w:rsidP="00E17C97">
      <w:pPr>
        <w:pStyle w:val="Titolo2"/>
      </w:pPr>
      <w:bookmarkStart w:id="79" w:name="_Toc6937374"/>
      <w:r w:rsidRPr="00E62064">
        <w:t>Articolo</w:t>
      </w:r>
      <w:r w:rsidR="009A2C24">
        <w:t xml:space="preserve"> 43</w:t>
      </w:r>
      <w:r w:rsidRPr="00E62064">
        <w:br/>
        <w:t>(Semplificazione degli adempimenti per la gestione degli enti del Terzo settore)</w:t>
      </w:r>
      <w:bookmarkEnd w:id="79"/>
    </w:p>
    <w:p w:rsidR="0078344B" w:rsidRPr="00632F4D" w:rsidRDefault="0078344B" w:rsidP="0078344B">
      <w:pPr>
        <w:pBdr>
          <w:top w:val="nil"/>
          <w:left w:val="nil"/>
          <w:bottom w:val="nil"/>
          <w:right w:val="nil"/>
          <w:between w:val="nil"/>
        </w:pBdr>
        <w:rPr>
          <w:rFonts w:eastAsia="Times New Roman" w:cs="Times New Roman"/>
          <w:color w:val="000000"/>
          <w:szCs w:val="24"/>
        </w:rPr>
      </w:pPr>
      <w:r w:rsidRPr="00632F4D">
        <w:rPr>
          <w:rFonts w:eastAsia="Times New Roman" w:cs="Times New Roman"/>
          <w:color w:val="000000"/>
          <w:szCs w:val="24"/>
        </w:rPr>
        <w:t>1. All’articolo 5 del decreto-legge 28 dicembre 2013, n. 149, convertito, con modificazioni, dalla legge 21 febbraio 2014, n. 13, sono apportate le seguenti modificazioni:</w:t>
      </w:r>
    </w:p>
    <w:p w:rsidR="0078344B" w:rsidRPr="00632F4D" w:rsidRDefault="0078344B" w:rsidP="0078344B">
      <w:pPr>
        <w:numPr>
          <w:ilvl w:val="0"/>
          <w:numId w:val="27"/>
        </w:numPr>
        <w:pBdr>
          <w:top w:val="nil"/>
          <w:left w:val="nil"/>
          <w:bottom w:val="nil"/>
          <w:right w:val="nil"/>
          <w:between w:val="nil"/>
        </w:pBdr>
        <w:ind w:left="0" w:firstLine="0"/>
        <w:rPr>
          <w:rFonts w:eastAsia="Times New Roman" w:cs="Times New Roman"/>
          <w:color w:val="000000"/>
          <w:szCs w:val="24"/>
        </w:rPr>
      </w:pPr>
      <w:r w:rsidRPr="00632F4D">
        <w:rPr>
          <w:rFonts w:eastAsia="Times New Roman" w:cs="Times New Roman"/>
          <w:color w:val="000000"/>
          <w:szCs w:val="24"/>
        </w:rPr>
        <w:t>al comma 3, secondo periodo, le parole “del finanziamento o del contributo” sono sostituite dalle parole:</w:t>
      </w:r>
      <w:r w:rsidRPr="00632F4D">
        <w:rPr>
          <w:rFonts w:eastAsia="Times New Roman" w:cs="Times New Roman"/>
          <w:b/>
          <w:color w:val="000000"/>
          <w:szCs w:val="24"/>
        </w:rPr>
        <w:t xml:space="preserve"> </w:t>
      </w:r>
      <w:r w:rsidRPr="00632F4D">
        <w:rPr>
          <w:rFonts w:eastAsia="Times New Roman" w:cs="Times New Roman"/>
          <w:color w:val="000000"/>
          <w:szCs w:val="24"/>
        </w:rPr>
        <w:t>“ovvero, in caso di finanziamenti o contributi di importo unitario inferiore o uguale a euro 500, entro il mese di marzo dell’anno solare successivo se complessivamente superiori nell’anno a tale importo”;</w:t>
      </w:r>
    </w:p>
    <w:p w:rsidR="0078344B" w:rsidRPr="00632F4D" w:rsidRDefault="0078344B" w:rsidP="0078344B">
      <w:pPr>
        <w:numPr>
          <w:ilvl w:val="0"/>
          <w:numId w:val="27"/>
        </w:numPr>
        <w:pBdr>
          <w:top w:val="nil"/>
          <w:left w:val="nil"/>
          <w:bottom w:val="nil"/>
          <w:right w:val="nil"/>
          <w:between w:val="nil"/>
        </w:pBdr>
        <w:ind w:left="0" w:firstLine="0"/>
        <w:rPr>
          <w:rFonts w:eastAsia="Times New Roman" w:cs="Times New Roman"/>
          <w:color w:val="000000"/>
          <w:szCs w:val="24"/>
        </w:rPr>
      </w:pPr>
      <w:r w:rsidRPr="00632F4D">
        <w:rPr>
          <w:rFonts w:eastAsia="Times New Roman" w:cs="Times New Roman"/>
          <w:color w:val="000000"/>
          <w:szCs w:val="24"/>
        </w:rPr>
        <w:t>al comma 3, quarto periodo, dopo le parole “contestualmente alla sua trasmissione” aggiungere le parole “, anche tramite PEC,”;</w:t>
      </w:r>
    </w:p>
    <w:p w:rsidR="0078344B" w:rsidRPr="00632F4D" w:rsidRDefault="0078344B" w:rsidP="0078344B">
      <w:pPr>
        <w:numPr>
          <w:ilvl w:val="0"/>
          <w:numId w:val="27"/>
        </w:numPr>
        <w:pBdr>
          <w:top w:val="nil"/>
          <w:left w:val="nil"/>
          <w:bottom w:val="nil"/>
          <w:right w:val="nil"/>
          <w:between w:val="nil"/>
        </w:pBdr>
        <w:ind w:left="0" w:firstLine="0"/>
        <w:rPr>
          <w:rFonts w:eastAsia="Times New Roman" w:cs="Times New Roman"/>
          <w:color w:val="000000"/>
          <w:szCs w:val="24"/>
        </w:rPr>
      </w:pPr>
      <w:r w:rsidRPr="00632F4D">
        <w:rPr>
          <w:rFonts w:eastAsia="Times New Roman" w:cs="Times New Roman"/>
          <w:color w:val="000000"/>
          <w:szCs w:val="24"/>
        </w:rPr>
        <w:t xml:space="preserve">il comma 4 è sostituito dal seguente: </w:t>
      </w:r>
    </w:p>
    <w:p w:rsidR="0078344B" w:rsidRPr="00632F4D" w:rsidRDefault="0078344B" w:rsidP="0078344B">
      <w:pPr>
        <w:pBdr>
          <w:top w:val="nil"/>
          <w:left w:val="nil"/>
          <w:bottom w:val="nil"/>
          <w:right w:val="nil"/>
          <w:between w:val="nil"/>
        </w:pBdr>
        <w:ind w:left="567"/>
        <w:rPr>
          <w:rFonts w:eastAsia="Times New Roman" w:cs="Times New Roman"/>
          <w:color w:val="000000"/>
          <w:szCs w:val="24"/>
        </w:rPr>
      </w:pPr>
      <w:r w:rsidRPr="00632F4D">
        <w:rPr>
          <w:rFonts w:eastAsia="Times New Roman" w:cs="Times New Roman"/>
          <w:color w:val="000000"/>
          <w:szCs w:val="24"/>
        </w:rPr>
        <w:t xml:space="preserve">“4. Ai sensi e per gli effetti del presente articolo, sono equiparati ai partiti e movimenti politici:  </w:t>
      </w:r>
    </w:p>
    <w:p w:rsidR="0078344B" w:rsidRPr="00632F4D" w:rsidRDefault="0078344B" w:rsidP="0078344B">
      <w:pPr>
        <w:numPr>
          <w:ilvl w:val="0"/>
          <w:numId w:val="25"/>
        </w:numPr>
        <w:pBdr>
          <w:top w:val="nil"/>
          <w:left w:val="nil"/>
          <w:bottom w:val="nil"/>
          <w:right w:val="nil"/>
          <w:between w:val="nil"/>
        </w:pBdr>
        <w:ind w:left="1208" w:hanging="357"/>
        <w:rPr>
          <w:rFonts w:eastAsia="Times New Roman" w:cs="Times New Roman"/>
          <w:color w:val="000000"/>
          <w:szCs w:val="24"/>
        </w:rPr>
      </w:pPr>
      <w:r w:rsidRPr="00632F4D">
        <w:rPr>
          <w:rFonts w:eastAsia="Times New Roman" w:cs="Times New Roman"/>
          <w:color w:val="000000"/>
          <w:szCs w:val="24"/>
        </w:rPr>
        <w:t xml:space="preserve">le fondazioni, le associazioni e i comitati la composizione dei cui organi direttivi o di gestione è determinata in tutto o in parte da deliberazioni di partiti o movimenti politici, o l’attività dei quali si coordina con questi ultimi anche in conformità a previsioni contenute nei rispettivi statuti o atti costitutivi; </w:t>
      </w:r>
    </w:p>
    <w:p w:rsidR="0078344B" w:rsidRPr="00632F4D" w:rsidRDefault="0078344B" w:rsidP="0078344B">
      <w:pPr>
        <w:numPr>
          <w:ilvl w:val="0"/>
          <w:numId w:val="25"/>
        </w:numPr>
        <w:pBdr>
          <w:top w:val="nil"/>
          <w:left w:val="nil"/>
          <w:bottom w:val="nil"/>
          <w:right w:val="nil"/>
          <w:between w:val="nil"/>
        </w:pBdr>
        <w:ind w:left="1208" w:hanging="357"/>
        <w:rPr>
          <w:rFonts w:eastAsia="Times New Roman" w:cs="Times New Roman"/>
          <w:color w:val="000000"/>
          <w:szCs w:val="24"/>
        </w:rPr>
      </w:pPr>
      <w:r w:rsidRPr="00632F4D">
        <w:rPr>
          <w:rFonts w:eastAsia="Times New Roman" w:cs="Times New Roman"/>
          <w:color w:val="000000"/>
          <w:szCs w:val="24"/>
        </w:rPr>
        <w:t>le fondazioni, le associazioni e i comitati i cui organi direttivi</w:t>
      </w:r>
      <w:r w:rsidRPr="00632F4D">
        <w:rPr>
          <w:rFonts w:eastAsia="Times New Roman" w:cs="Times New Roman"/>
          <w:b/>
          <w:color w:val="000000"/>
          <w:szCs w:val="24"/>
        </w:rPr>
        <w:t xml:space="preserve"> </w:t>
      </w:r>
      <w:r w:rsidRPr="00632F4D">
        <w:rPr>
          <w:rFonts w:eastAsia="Times New Roman" w:cs="Times New Roman"/>
          <w:color w:val="000000"/>
          <w:szCs w:val="24"/>
        </w:rPr>
        <w:t xml:space="preserve">o di gestione sono composti per almeno un terzo da membri di organi di partiti o movimenti politici ovvero persone che sono o sono state, nei sei anni precedenti, membri del Parlamento nazionale o europeo o di assemblee elettive regionali o locali di comuni con più di 15.000 abitanti, ovvero che ricoprono o hanno ricoperto, nei sei anni precedenti, incarichi di governo al livello nazionale, regionale o locale, in comuni con più di 15.000 abitanti;  </w:t>
      </w:r>
    </w:p>
    <w:p w:rsidR="0078344B" w:rsidRPr="00632F4D" w:rsidRDefault="0078344B" w:rsidP="0078344B">
      <w:pPr>
        <w:numPr>
          <w:ilvl w:val="0"/>
          <w:numId w:val="25"/>
        </w:numPr>
        <w:pBdr>
          <w:top w:val="nil"/>
          <w:left w:val="nil"/>
          <w:bottom w:val="nil"/>
          <w:right w:val="nil"/>
          <w:between w:val="nil"/>
        </w:pBdr>
        <w:ind w:left="1208" w:hanging="357"/>
        <w:rPr>
          <w:rFonts w:eastAsia="Times New Roman" w:cs="Times New Roman"/>
          <w:color w:val="000000"/>
          <w:szCs w:val="24"/>
        </w:rPr>
      </w:pPr>
      <w:r w:rsidRPr="00632F4D">
        <w:rPr>
          <w:rFonts w:eastAsia="Times New Roman" w:cs="Times New Roman"/>
          <w:color w:val="000000"/>
          <w:szCs w:val="24"/>
        </w:rPr>
        <w:t>le fondazioni, le associazioni e i comitati</w:t>
      </w:r>
      <w:r w:rsidRPr="00632F4D">
        <w:rPr>
          <w:rFonts w:eastAsia="Times New Roman" w:cs="Times New Roman"/>
          <w:b/>
          <w:color w:val="000000"/>
          <w:szCs w:val="24"/>
        </w:rPr>
        <w:t xml:space="preserve"> </w:t>
      </w:r>
      <w:r w:rsidRPr="00632F4D">
        <w:rPr>
          <w:rFonts w:eastAsia="Times New Roman" w:cs="Times New Roman"/>
          <w:color w:val="000000"/>
          <w:szCs w:val="24"/>
        </w:rPr>
        <w:t>che erogano somme a titolo di liberalità o contribuiscono in misura pari o superiore a euro 5.000 l’anno al finanziamento di iniziative o servizi a titolo gratuito in favore di partiti, movimenti politici o loro articolazioni, di membri di organi o articolazioni comunque denominate di partiti o movimenti politici ovvero di persone titolari di cariche istituzionali nell’ambito di organi elettivi o di governo.”;</w:t>
      </w:r>
    </w:p>
    <w:p w:rsidR="0078344B" w:rsidRPr="00632F4D" w:rsidRDefault="0078344B" w:rsidP="0078344B">
      <w:pPr>
        <w:numPr>
          <w:ilvl w:val="0"/>
          <w:numId w:val="25"/>
        </w:numPr>
        <w:pBdr>
          <w:top w:val="nil"/>
          <w:left w:val="nil"/>
          <w:bottom w:val="nil"/>
          <w:right w:val="nil"/>
          <w:between w:val="nil"/>
        </w:pBdr>
        <w:ind w:left="0" w:firstLine="0"/>
        <w:rPr>
          <w:rFonts w:eastAsia="Times New Roman" w:cs="Times New Roman"/>
          <w:color w:val="000000"/>
          <w:szCs w:val="24"/>
        </w:rPr>
      </w:pPr>
      <w:r w:rsidRPr="00632F4D">
        <w:rPr>
          <w:rFonts w:eastAsia="Times New Roman" w:cs="Times New Roman"/>
          <w:color w:val="000000"/>
          <w:szCs w:val="24"/>
        </w:rPr>
        <w:t>dopo il comma 4, è aggiunto il seguente: “4-</w:t>
      </w:r>
      <w:r w:rsidRPr="00632F4D">
        <w:rPr>
          <w:rFonts w:eastAsia="Times New Roman" w:cs="Times New Roman"/>
          <w:i/>
          <w:color w:val="000000"/>
          <w:szCs w:val="24"/>
        </w:rPr>
        <w:t>bis</w:t>
      </w:r>
      <w:r w:rsidRPr="00632F4D">
        <w:rPr>
          <w:rFonts w:eastAsia="Times New Roman" w:cs="Times New Roman"/>
          <w:color w:val="000000"/>
          <w:szCs w:val="24"/>
        </w:rPr>
        <w:t xml:space="preserve">. Il comma 4, lettera </w:t>
      </w:r>
      <w:r w:rsidRPr="00632F4D">
        <w:rPr>
          <w:rFonts w:eastAsia="Times New Roman" w:cs="Times New Roman"/>
          <w:i/>
          <w:color w:val="000000"/>
          <w:szCs w:val="24"/>
        </w:rPr>
        <w:t>b</w:t>
      </w:r>
      <w:r w:rsidRPr="00632F4D">
        <w:rPr>
          <w:rFonts w:eastAsia="Times New Roman" w:cs="Times New Roman"/>
          <w:color w:val="000000"/>
          <w:szCs w:val="24"/>
        </w:rPr>
        <w:t xml:space="preserve">), non si applica agli enti del </w:t>
      </w:r>
      <w:r w:rsidRPr="00632F4D">
        <w:rPr>
          <w:rFonts w:eastAsia="Times New Roman" w:cs="Times New Roman"/>
          <w:szCs w:val="24"/>
        </w:rPr>
        <w:t>T</w:t>
      </w:r>
      <w:r w:rsidRPr="00632F4D">
        <w:rPr>
          <w:rFonts w:eastAsia="Times New Roman" w:cs="Times New Roman"/>
          <w:color w:val="000000"/>
          <w:szCs w:val="24"/>
        </w:rPr>
        <w:t>erzo settore iscritti nel registro unico nazionale</w:t>
      </w:r>
      <w:r w:rsidRPr="00632F4D">
        <w:rPr>
          <w:rFonts w:eastAsia="Times New Roman" w:cs="Times New Roman"/>
          <w:b/>
          <w:color w:val="000000"/>
          <w:szCs w:val="24"/>
        </w:rPr>
        <w:t xml:space="preserve"> </w:t>
      </w:r>
      <w:r w:rsidRPr="00632F4D">
        <w:rPr>
          <w:rFonts w:eastAsia="Times New Roman" w:cs="Times New Roman"/>
          <w:color w:val="000000"/>
          <w:szCs w:val="24"/>
        </w:rPr>
        <w:t>di cui all’articolo 45 del decreto legislativo 3 luglio 2017, n. 117. Il comma 4, lettera b), non si applica altresì alle fondazioni, alle associazioni, ai comitati appartenenti alle confessioni religiose con le quali lo Stato ha stipulato patti, accordi o intese”.</w:t>
      </w:r>
    </w:p>
    <w:p w:rsidR="0078344B" w:rsidRPr="00632F4D" w:rsidRDefault="0078344B" w:rsidP="0078344B">
      <w:pPr>
        <w:pBdr>
          <w:top w:val="nil"/>
          <w:left w:val="nil"/>
          <w:bottom w:val="nil"/>
          <w:right w:val="nil"/>
          <w:between w:val="nil"/>
        </w:pBdr>
        <w:rPr>
          <w:rFonts w:eastAsia="Times New Roman" w:cs="Times New Roman"/>
          <w:szCs w:val="24"/>
        </w:rPr>
      </w:pPr>
      <w:r w:rsidRPr="00632F4D">
        <w:rPr>
          <w:rFonts w:eastAsia="Times New Roman" w:cs="Times New Roman"/>
          <w:color w:val="000000"/>
          <w:szCs w:val="24"/>
        </w:rPr>
        <w:t xml:space="preserve">2. </w:t>
      </w:r>
      <w:r w:rsidRPr="00632F4D">
        <w:rPr>
          <w:rFonts w:eastAsia="Times New Roman" w:cs="Times New Roman"/>
          <w:szCs w:val="24"/>
        </w:rPr>
        <w:t>Fino all’operatività del Registro</w:t>
      </w:r>
      <w:r w:rsidRPr="00632F4D">
        <w:rPr>
          <w:rFonts w:eastAsia="Times New Roman" w:cs="Times New Roman"/>
          <w:b/>
          <w:szCs w:val="24"/>
        </w:rPr>
        <w:t xml:space="preserve"> </w:t>
      </w:r>
      <w:r w:rsidRPr="00632F4D">
        <w:rPr>
          <w:rFonts w:eastAsia="Times New Roman" w:cs="Times New Roman"/>
          <w:szCs w:val="24"/>
        </w:rPr>
        <w:t xml:space="preserve">unico nazionale del Terzo settore </w:t>
      </w:r>
      <w:r w:rsidRPr="00632F4D">
        <w:rPr>
          <w:rFonts w:eastAsia="Times New Roman" w:cs="Times New Roman"/>
          <w:color w:val="000000"/>
          <w:szCs w:val="24"/>
        </w:rPr>
        <w:t>di cui all’articolo 45</w:t>
      </w:r>
      <w:r w:rsidRPr="00632F4D">
        <w:rPr>
          <w:rFonts w:eastAsia="Times New Roman" w:cs="Times New Roman"/>
          <w:szCs w:val="24"/>
        </w:rPr>
        <w:t xml:space="preserve"> del decreto legislativo 3 luglio 2017, n. 117, il requisito dell’iscrizione nel predetto registro previsto dall’articolo 5, comma 4-</w:t>
      </w:r>
      <w:r w:rsidRPr="00632F4D">
        <w:rPr>
          <w:rFonts w:eastAsia="Times New Roman" w:cs="Times New Roman"/>
          <w:i/>
          <w:szCs w:val="24"/>
        </w:rPr>
        <w:t>bis</w:t>
      </w:r>
      <w:r w:rsidRPr="00632F4D">
        <w:rPr>
          <w:rFonts w:eastAsia="Times New Roman" w:cs="Times New Roman"/>
          <w:szCs w:val="24"/>
        </w:rPr>
        <w:t>,</w:t>
      </w:r>
      <w:r w:rsidRPr="00632F4D">
        <w:rPr>
          <w:rFonts w:eastAsia="Times New Roman" w:cs="Times New Roman"/>
          <w:color w:val="000000"/>
          <w:szCs w:val="24"/>
        </w:rPr>
        <w:t xml:space="preserve"> del decreto-legge 28 dicembre 2013, n. 149, convertito, con modificazioni, dalla legge 21 febbraio 2014, n. 13,</w:t>
      </w:r>
      <w:r w:rsidRPr="00632F4D">
        <w:rPr>
          <w:rFonts w:eastAsia="Times New Roman" w:cs="Times New Roman"/>
          <w:szCs w:val="24"/>
        </w:rPr>
        <w:t xml:space="preserve"> s’intende soddisfatto con l’iscrizione in uno dei registri previsti dalle normative di settore, ai sensi dell’articolo 101, comma 3, del decreto legislativo 3 luglio 2017, n. 117.</w:t>
      </w:r>
    </w:p>
    <w:p w:rsidR="0078344B" w:rsidRPr="00632F4D" w:rsidRDefault="0078344B" w:rsidP="0078344B">
      <w:pPr>
        <w:pBdr>
          <w:top w:val="nil"/>
          <w:left w:val="nil"/>
          <w:bottom w:val="nil"/>
          <w:right w:val="nil"/>
          <w:between w:val="nil"/>
        </w:pBdr>
        <w:rPr>
          <w:rFonts w:eastAsia="Times New Roman" w:cs="Times New Roman"/>
          <w:color w:val="000000"/>
          <w:szCs w:val="24"/>
        </w:rPr>
      </w:pPr>
      <w:r w:rsidRPr="00632F4D">
        <w:rPr>
          <w:rFonts w:eastAsia="Times New Roman" w:cs="Times New Roman"/>
          <w:color w:val="000000"/>
          <w:szCs w:val="24"/>
        </w:rPr>
        <w:t xml:space="preserve">3. All’articolo 1 della legge 19 gennaio 2019, n. 3, sono apportate le seguenti modificazioni: </w:t>
      </w:r>
    </w:p>
    <w:p w:rsidR="0078344B" w:rsidRPr="00632F4D" w:rsidRDefault="0078344B" w:rsidP="0078344B">
      <w:pPr>
        <w:numPr>
          <w:ilvl w:val="0"/>
          <w:numId w:val="26"/>
        </w:numPr>
        <w:pBdr>
          <w:top w:val="nil"/>
          <w:left w:val="nil"/>
          <w:bottom w:val="nil"/>
          <w:right w:val="nil"/>
          <w:between w:val="nil"/>
        </w:pBdr>
        <w:ind w:left="357" w:hanging="357"/>
        <w:rPr>
          <w:rFonts w:eastAsia="Times New Roman" w:cs="Times New Roman"/>
          <w:color w:val="000000"/>
          <w:szCs w:val="24"/>
        </w:rPr>
      </w:pPr>
      <w:r w:rsidRPr="00632F4D">
        <w:rPr>
          <w:rFonts w:eastAsia="Times New Roman" w:cs="Times New Roman"/>
          <w:color w:val="000000"/>
          <w:szCs w:val="24"/>
        </w:rPr>
        <w:t>al comma 11, terzo periodo, le parole “entro il mese solare successivo a quello di percezione, in apposito registro” sono sostituite dalle seguenti: “entro il mese solare successivo a quello di percezione ovvero, in caso di contributi, prestazioni o altre forme di sostegno di importo unitario inferiore o uguale a euro 500, entro il mese di marzo dell’anno solare successivo se complessivamente superiori nell’anno a tale importo, in apposito registro numerato progressivamente e firmato su ogni foglio dal rappresentante legale o dal tesoriere,”; al quarto periodo, le parole “e in ogni caso l’annotazione  deve essere eseguita entro il mese solare successivo a quello di percezione” sono soppresse;</w:t>
      </w:r>
    </w:p>
    <w:p w:rsidR="0078344B" w:rsidRPr="0078344B" w:rsidRDefault="0078344B" w:rsidP="0078344B">
      <w:pPr>
        <w:numPr>
          <w:ilvl w:val="0"/>
          <w:numId w:val="26"/>
        </w:numPr>
        <w:pBdr>
          <w:top w:val="nil"/>
          <w:left w:val="nil"/>
          <w:bottom w:val="nil"/>
          <w:right w:val="nil"/>
          <w:between w:val="nil"/>
        </w:pBdr>
        <w:ind w:left="357" w:hanging="357"/>
        <w:rPr>
          <w:rFonts w:eastAsia="Times New Roman" w:cs="Times New Roman"/>
          <w:color w:val="000000"/>
          <w:szCs w:val="24"/>
        </w:rPr>
      </w:pPr>
      <w:r w:rsidRPr="00632F4D">
        <w:rPr>
          <w:rFonts w:eastAsia="Times New Roman" w:cs="Times New Roman"/>
          <w:color w:val="000000"/>
          <w:szCs w:val="24"/>
        </w:rPr>
        <w:t xml:space="preserve">al comma 21 sono apportate le seguenti modificazioni: dopo le parole “e 12” sono aggiunte le seguenti: “, primo periodo,”; alla fine del periodo sono aggiunte le seguenti parole: “, se entro tre mesi dal ricevimento non ha provveduto al versamento del corrispondente importo alla cassa delle ammende in conformità al comma 13.”; in fine è aggiunto il seguente periodo: “In caso di violazione del divieto di cui al comma 12, </w:t>
      </w:r>
      <w:r w:rsidRPr="0078344B">
        <w:rPr>
          <w:rFonts w:eastAsia="Times New Roman" w:cs="Times New Roman"/>
          <w:color w:val="000000"/>
          <w:szCs w:val="24"/>
        </w:rPr>
        <w:t>secondo periodo, si applicano le sanzioni di cui al periodo precedente se entro tre mesi dalla piena conoscenza della sussistenza delle condizioni ostative di cui al comma 12, secondo periodo, il partito o movimento politico non ha provveduto al versamento del corrispondente importo alla cassa delle ammende in conformità al comma 13.”;</w:t>
      </w:r>
    </w:p>
    <w:p w:rsidR="0078344B" w:rsidRPr="0078344B" w:rsidRDefault="0078344B" w:rsidP="0078344B">
      <w:pPr>
        <w:pStyle w:val="Paragrafoelenco"/>
        <w:numPr>
          <w:ilvl w:val="0"/>
          <w:numId w:val="26"/>
        </w:numPr>
        <w:pBdr>
          <w:top w:val="nil"/>
          <w:left w:val="nil"/>
          <w:bottom w:val="nil"/>
          <w:right w:val="nil"/>
          <w:between w:val="nil"/>
        </w:pBdr>
        <w:spacing w:after="0" w:line="240" w:lineRule="auto"/>
        <w:ind w:left="357" w:hanging="357"/>
        <w:rPr>
          <w:rFonts w:ascii="Times New Roman" w:eastAsia="Times New Roman" w:hAnsi="Times New Roman"/>
          <w:color w:val="000000"/>
          <w:szCs w:val="24"/>
          <w:lang w:val="it-IT"/>
        </w:rPr>
      </w:pPr>
      <w:r w:rsidRPr="0078344B">
        <w:rPr>
          <w:rFonts w:ascii="Times New Roman" w:eastAsia="Times New Roman" w:hAnsi="Times New Roman"/>
          <w:color w:val="000000"/>
          <w:szCs w:val="24"/>
          <w:lang w:val="it-IT"/>
        </w:rPr>
        <w:t>al comma 28 è aggiunto in fine il seguente periodo: “È fatto salvo quanto disposto all’articolo 5, comma 4-bis, del decreto-legge 28 dicembre 2013, n. 149, convertito, con modificazioni, dalla legge 21 febbraio 2014, n. 13.”;</w:t>
      </w:r>
    </w:p>
    <w:p w:rsidR="0078344B" w:rsidRPr="0078344B" w:rsidRDefault="0078344B" w:rsidP="0078344B">
      <w:pPr>
        <w:pStyle w:val="Paragrafoelenco"/>
        <w:numPr>
          <w:ilvl w:val="0"/>
          <w:numId w:val="26"/>
        </w:numPr>
        <w:pBdr>
          <w:top w:val="nil"/>
          <w:left w:val="nil"/>
          <w:bottom w:val="nil"/>
          <w:right w:val="nil"/>
          <w:between w:val="nil"/>
        </w:pBdr>
        <w:spacing w:after="0" w:line="240" w:lineRule="auto"/>
        <w:ind w:left="357" w:hanging="357"/>
        <w:rPr>
          <w:rFonts w:ascii="Times New Roman" w:eastAsia="Times New Roman" w:hAnsi="Times New Roman"/>
          <w:color w:val="000000"/>
          <w:szCs w:val="24"/>
          <w:lang w:val="it-IT"/>
        </w:rPr>
      </w:pPr>
      <w:r w:rsidRPr="0078344B">
        <w:rPr>
          <w:rFonts w:ascii="Times New Roman" w:eastAsia="Times New Roman" w:hAnsi="Times New Roman"/>
          <w:color w:val="000000"/>
          <w:szCs w:val="24"/>
          <w:lang w:val="it-IT"/>
        </w:rPr>
        <w:t>dopo il comma 28 è aggiunto il seguente: “28-bis. In deroga al comma 28, alle fondazioni, alle associazioni e ai comitati</w:t>
      </w:r>
      <w:r w:rsidRPr="0078344B">
        <w:rPr>
          <w:rFonts w:ascii="Times New Roman" w:eastAsia="Times New Roman" w:hAnsi="Times New Roman"/>
          <w:b/>
          <w:color w:val="000000"/>
          <w:szCs w:val="24"/>
          <w:lang w:val="it-IT"/>
        </w:rPr>
        <w:t xml:space="preserve"> </w:t>
      </w:r>
      <w:r w:rsidRPr="0078344B">
        <w:rPr>
          <w:rFonts w:ascii="Times New Roman" w:eastAsia="Times New Roman" w:hAnsi="Times New Roman"/>
          <w:color w:val="000000"/>
          <w:szCs w:val="24"/>
          <w:lang w:val="it-IT"/>
        </w:rPr>
        <w:t>di cui all’articolo 5, comma 4, del decreto-legge 28 dicembre 2013, n. 149, convertito, con modificazioni, dalla legge 21 febbraio 2014, n. 13, i termini fissati al mese solare successivo dal comma 11, terzo periodo, del presente articolo e dall’articolo 5, comma 3, del decreto-legge 28 dicembre 2013, n. 149, si intendono fissati, salvo che per i comitati elettorali, al secondo mese solare successivo. Alle fondazioni, alle associazioni e ai comitati</w:t>
      </w:r>
      <w:r w:rsidRPr="0078344B">
        <w:rPr>
          <w:rFonts w:ascii="Times New Roman" w:eastAsia="Times New Roman" w:hAnsi="Times New Roman"/>
          <w:b/>
          <w:color w:val="000000"/>
          <w:szCs w:val="24"/>
          <w:lang w:val="it-IT"/>
        </w:rPr>
        <w:t xml:space="preserve"> </w:t>
      </w:r>
      <w:r w:rsidRPr="0078344B">
        <w:rPr>
          <w:rFonts w:ascii="Times New Roman" w:eastAsia="Times New Roman" w:hAnsi="Times New Roman"/>
          <w:color w:val="000000"/>
          <w:szCs w:val="24"/>
          <w:lang w:val="it-IT"/>
        </w:rPr>
        <w:t>di cui al periodo precedente non si applica il comma 12, primo periodo; ai medesimi enti il comma 12, secondo periodo, non si applica in caso di elargizioni disposte da persone fisiche maggiorenni straniere. Agli enti di cui al periodo precedente, in caso di violazione degli ulteriori divieti di cui al comma 12 del presente articolo, il comma 21 si applica solo in relazione a contributi, prestazioni o altre forme di sostegno di importo superiore nell’anno a euro 500.”.</w:t>
      </w:r>
    </w:p>
    <w:p w:rsidR="0078344B" w:rsidRPr="00632F4D" w:rsidRDefault="0078344B" w:rsidP="0078344B">
      <w:pPr>
        <w:rPr>
          <w:rFonts w:eastAsia="Times New Roman" w:cs="Times New Roman"/>
          <w:color w:val="000000"/>
          <w:szCs w:val="24"/>
        </w:rPr>
      </w:pPr>
      <w:r w:rsidRPr="00632F4D">
        <w:rPr>
          <w:rFonts w:eastAsia="Times New Roman" w:cs="Times New Roman"/>
          <w:color w:val="000000"/>
          <w:szCs w:val="24"/>
        </w:rPr>
        <w:t>4. I termini di cui all’articolo 1, comma 28-</w:t>
      </w:r>
      <w:r w:rsidRPr="00632F4D">
        <w:rPr>
          <w:rFonts w:eastAsia="Times New Roman" w:cs="Times New Roman"/>
          <w:i/>
          <w:color w:val="000000"/>
          <w:szCs w:val="24"/>
        </w:rPr>
        <w:t>bis</w:t>
      </w:r>
      <w:r w:rsidRPr="00632F4D">
        <w:rPr>
          <w:rFonts w:eastAsia="Times New Roman" w:cs="Times New Roman"/>
          <w:color w:val="000000"/>
          <w:szCs w:val="24"/>
        </w:rPr>
        <w:t>, primo periodo, della legge 19 gennaio 2019, n. 3, si applicano agli adempimenti relativi ad elargizioni, finanziamenti e contributi ricevuti a partire dal centoventesimo giorno successivo all’entrata in vigore della medesima legge.</w:t>
      </w:r>
      <w:bookmarkStart w:id="80" w:name="_gjdgxs" w:colFirst="0" w:colLast="0"/>
      <w:bookmarkEnd w:id="80"/>
    </w:p>
    <w:p w:rsidR="00E97E40" w:rsidRPr="000679D0" w:rsidRDefault="00E97E40" w:rsidP="00E97E40">
      <w:pPr>
        <w:jc w:val="center"/>
        <w:rPr>
          <w:rStyle w:val="anchorantimarker"/>
          <w:rFonts w:cs="Times New Roman"/>
          <w:b/>
          <w:szCs w:val="24"/>
        </w:rPr>
      </w:pPr>
      <w:r w:rsidRPr="000679D0">
        <w:rPr>
          <w:rStyle w:val="anchorantimarker"/>
          <w:rFonts w:cs="Times New Roman"/>
          <w:b/>
          <w:szCs w:val="24"/>
        </w:rPr>
        <w:t>Relazione illustrativa</w:t>
      </w:r>
    </w:p>
    <w:p w:rsidR="00E97E40" w:rsidRPr="000679D0" w:rsidRDefault="00E97E40" w:rsidP="00E97E40">
      <w:pPr>
        <w:rPr>
          <w:rStyle w:val="anchorantimarker"/>
          <w:rFonts w:cs="Times New Roman"/>
          <w:szCs w:val="24"/>
        </w:rPr>
      </w:pPr>
      <w:r w:rsidRPr="000679D0">
        <w:rPr>
          <w:rStyle w:val="anchorantimarker"/>
          <w:rFonts w:cs="Times New Roman"/>
          <w:szCs w:val="24"/>
        </w:rPr>
        <w:t>1. L’articolo che si illustra rubricato “</w:t>
      </w:r>
      <w:r w:rsidRPr="000679D0">
        <w:rPr>
          <w:rStyle w:val="anchorantimarker"/>
          <w:rFonts w:cs="Times New Roman"/>
          <w:i/>
          <w:szCs w:val="24"/>
        </w:rPr>
        <w:t>Semplificazione degli adempimenti per la gestione degli enti del Terzo settore”</w:t>
      </w:r>
      <w:r w:rsidRPr="000679D0">
        <w:rPr>
          <w:rStyle w:val="anchorantimarker"/>
          <w:rFonts w:cs="Times New Roman"/>
          <w:szCs w:val="24"/>
        </w:rPr>
        <w:t xml:space="preserve"> reca modifiche e integrazioni urgenti al decreto-legge 28 dicembre 2013, n. 149, convertito, con modificazioni, dalla legge 21 febbraio 2014, n. 13, e alla legge 9 gennaio 2019, n. 3, la quale a sua volta ha ulteriormente modificato il menzionato decreto-legge n. 149 del 2013.</w:t>
      </w:r>
    </w:p>
    <w:p w:rsidR="00E97E40" w:rsidRPr="000679D0" w:rsidRDefault="00E97E40" w:rsidP="00E97E40">
      <w:pPr>
        <w:rPr>
          <w:rStyle w:val="anchorantimarker"/>
          <w:rFonts w:cs="Times New Roman"/>
          <w:color w:val="auto"/>
          <w:szCs w:val="24"/>
        </w:rPr>
      </w:pPr>
      <w:r w:rsidRPr="000679D0">
        <w:rPr>
          <w:rStyle w:val="anchorantimarker"/>
          <w:rFonts w:cs="Times New Roman"/>
          <w:szCs w:val="24"/>
        </w:rPr>
        <w:t xml:space="preserve">Le modifiche che il presente provvedimento introduce sono rese necessarie sia dall’esigenza di delimitare con maggiore chiarezza la portata della nuova disciplina in materia di trasparenza dei partiti e dei movimenti </w:t>
      </w:r>
      <w:r w:rsidRPr="000679D0">
        <w:rPr>
          <w:rStyle w:val="anchorantimarker"/>
          <w:rFonts w:cs="Times New Roman"/>
          <w:color w:val="auto"/>
          <w:szCs w:val="24"/>
        </w:rPr>
        <w:t xml:space="preserve">nella parte in cui si estende alle associazioni, alle fondazioni e ai ai comitati che evidenziano forme di collegamento con i soggetti politici; sia, e soprattutto, dall’esigenza di semplificare gli adempimenti richiesti agli enti del Terzo settore, che costituiscono un comparto rilevante per la crescita in considerazione della loro riconosciuta funzione sussidiaria rispetto al sistema di </w:t>
      </w:r>
      <w:r w:rsidRPr="000679D0">
        <w:rPr>
          <w:rStyle w:val="anchorantimarker"/>
          <w:rFonts w:cs="Times New Roman"/>
          <w:i/>
          <w:color w:val="auto"/>
          <w:szCs w:val="24"/>
        </w:rPr>
        <w:t>welfare</w:t>
      </w:r>
      <w:r w:rsidRPr="000679D0">
        <w:rPr>
          <w:rStyle w:val="anchorantimarker"/>
          <w:rFonts w:cs="Times New Roman"/>
          <w:color w:val="auto"/>
          <w:szCs w:val="24"/>
        </w:rPr>
        <w:t xml:space="preserve"> complessivamente considerato.</w:t>
      </w:r>
    </w:p>
    <w:p w:rsidR="00E97E40" w:rsidRPr="000679D0" w:rsidRDefault="00E97E40" w:rsidP="00E97E40">
      <w:pPr>
        <w:rPr>
          <w:rStyle w:val="anchorantimarker"/>
          <w:rFonts w:cs="Times New Roman"/>
          <w:color w:val="auto"/>
          <w:szCs w:val="24"/>
        </w:rPr>
      </w:pPr>
      <w:r w:rsidRPr="000679D0">
        <w:rPr>
          <w:rStyle w:val="anchorantimarker"/>
          <w:rFonts w:cs="Times New Roman"/>
          <w:color w:val="auto"/>
          <w:szCs w:val="24"/>
        </w:rPr>
        <w:t>Nel periodo immediatamente successivo all’entrata in vigore della legge 9 gennaio 2019, n. 3 (</w:t>
      </w:r>
      <w:r w:rsidRPr="000679D0">
        <w:rPr>
          <w:rFonts w:cs="Times New Roman"/>
          <w:szCs w:val="24"/>
        </w:rPr>
        <w:t>Misure per il contrasto dei reati contro la pubblica amministrazione, nonché in materia di prescrizione del reato e in materia di trasparenza dei partiti e movimenti politici</w:t>
      </w:r>
      <w:r w:rsidRPr="000679D0">
        <w:rPr>
          <w:rStyle w:val="anchorantimarker"/>
          <w:rFonts w:cs="Times New Roman"/>
          <w:color w:val="auto"/>
          <w:szCs w:val="24"/>
        </w:rPr>
        <w:t>), sono infatti emerse alcune esigenze di semplificazione e di precisazione della normativa, meritevoli di urgente considerazione.</w:t>
      </w:r>
    </w:p>
    <w:p w:rsidR="00E97E40" w:rsidRPr="000679D0" w:rsidRDefault="00E97E40" w:rsidP="00E97E40">
      <w:pPr>
        <w:rPr>
          <w:rStyle w:val="anchorantimarker"/>
          <w:rFonts w:cs="Times New Roman"/>
          <w:color w:val="auto"/>
          <w:szCs w:val="24"/>
        </w:rPr>
      </w:pPr>
      <w:r w:rsidRPr="000679D0">
        <w:rPr>
          <w:rStyle w:val="anchorantimarker"/>
          <w:rFonts w:cs="Times New Roman"/>
          <w:color w:val="auto"/>
          <w:szCs w:val="24"/>
        </w:rPr>
        <w:t>L’immediata osservanza della disciplina degli adempimenti che la</w:t>
      </w:r>
      <w:r w:rsidRPr="000679D0">
        <w:rPr>
          <w:rStyle w:val="anchorantimarker"/>
          <w:rFonts w:cs="Times New Roman"/>
          <w:szCs w:val="24"/>
        </w:rPr>
        <w:t xml:space="preserve"> legge 9 gennaio 2019, n. 3 impone, con conseguente applicazione delle corrispondenti sanzioni in caso di violazione, rende necessario e urgente intervenire per evitare, in particolare agli enti del terzo settore e alle realtà associative di minori dimensioni e meno strutturate, oneri organizzativi, gestionali e di rendicontazione non sostenibili nell’immediato.</w:t>
      </w:r>
    </w:p>
    <w:p w:rsidR="00E97E40" w:rsidRPr="000679D0" w:rsidRDefault="00E97E40" w:rsidP="00E97E40">
      <w:pPr>
        <w:rPr>
          <w:rStyle w:val="anchorantimarker"/>
          <w:rFonts w:cs="Times New Roman"/>
          <w:color w:val="auto"/>
          <w:szCs w:val="24"/>
        </w:rPr>
      </w:pPr>
      <w:r w:rsidRPr="000679D0">
        <w:rPr>
          <w:rStyle w:val="anchorantimarker"/>
          <w:rFonts w:cs="Times New Roman"/>
          <w:color w:val="auto"/>
          <w:szCs w:val="24"/>
        </w:rPr>
        <w:t>2. Il comma 1 introduce modifiche al decreto-legge 28 dicembre 2013, n. 149 (</w:t>
      </w:r>
      <w:r w:rsidRPr="000679D0">
        <w:rPr>
          <w:rFonts w:cs="Times New Roman"/>
          <w:bCs/>
          <w:szCs w:val="24"/>
        </w:rPr>
        <w:t>Abolizione del finanziamento pubblico diretto, disposizioni per la trasparenza e la democraticità dei partiti e disciplina della contribuzione volontaria e della contribuzione indiretta in loro favore</w:t>
      </w:r>
      <w:r w:rsidRPr="000679D0">
        <w:rPr>
          <w:rStyle w:val="anchorantimarker"/>
          <w:rFonts w:cs="Times New Roman"/>
          <w:color w:val="auto"/>
          <w:szCs w:val="24"/>
        </w:rPr>
        <w:t>), convertito, con modificazioni, dalla legge 21 febbraio 2014, n. 13.</w:t>
      </w:r>
    </w:p>
    <w:p w:rsidR="00E97E40" w:rsidRPr="000679D0" w:rsidRDefault="00E97E40" w:rsidP="00E97E40">
      <w:pPr>
        <w:rPr>
          <w:rStyle w:val="anchorantimarker"/>
          <w:rFonts w:cs="Times New Roman"/>
          <w:color w:val="auto"/>
          <w:szCs w:val="24"/>
        </w:rPr>
      </w:pPr>
      <w:r w:rsidRPr="000679D0">
        <w:rPr>
          <w:rStyle w:val="anchorantimarker"/>
          <w:rFonts w:cs="Times New Roman"/>
          <w:color w:val="auto"/>
          <w:szCs w:val="24"/>
        </w:rPr>
        <w:t>In particolare, all’articolo 5 del suddetto decreto sono apportate le modifiche di séguito illustrate:</w:t>
      </w:r>
    </w:p>
    <w:p w:rsidR="00E97E40" w:rsidRPr="000679D0" w:rsidRDefault="00E97E40" w:rsidP="00E97E40">
      <w:pPr>
        <w:pStyle w:val="provvestremo"/>
        <w:spacing w:before="0" w:beforeAutospacing="0" w:after="0"/>
        <w:rPr>
          <w:rStyle w:val="anchorantimarker"/>
          <w:b w:val="0"/>
          <w:sz w:val="22"/>
        </w:rPr>
      </w:pPr>
      <w:r w:rsidRPr="000679D0">
        <w:rPr>
          <w:rStyle w:val="anchorantimarker"/>
          <w:b w:val="0"/>
          <w:i/>
          <w:sz w:val="22"/>
        </w:rPr>
        <w:t>A</w:t>
      </w:r>
      <w:r w:rsidRPr="000679D0">
        <w:rPr>
          <w:rStyle w:val="anchorantimarker"/>
          <w:b w:val="0"/>
          <w:sz w:val="22"/>
        </w:rPr>
        <w:t>) Al comma 3, secondo periodo, dopo le parole “</w:t>
      </w:r>
      <w:r w:rsidRPr="000679D0">
        <w:rPr>
          <w:b w:val="0"/>
          <w:sz w:val="22"/>
        </w:rPr>
        <w:t>mese solare successivo a quello di percezione”, sono aggiunte le seguenti: “ovvero,</w:t>
      </w:r>
      <w:r w:rsidRPr="000679D0">
        <w:rPr>
          <w:rStyle w:val="anchorantimarker"/>
          <w:b w:val="0"/>
          <w:sz w:val="22"/>
        </w:rPr>
        <w:t xml:space="preserve"> in caso di finanziamenti o contributi di importo unitario inferiore o uguale a euro 500</w:t>
      </w:r>
      <w:r w:rsidRPr="000679D0">
        <w:rPr>
          <w:b w:val="0"/>
          <w:sz w:val="22"/>
        </w:rPr>
        <w:t>,</w:t>
      </w:r>
      <w:r w:rsidRPr="000679D0">
        <w:rPr>
          <w:rStyle w:val="anchorantimarker"/>
          <w:b w:val="0"/>
          <w:sz w:val="22"/>
        </w:rPr>
        <w:t xml:space="preserve"> entro il mese di marzo dell’anno solare successivo</w:t>
      </w:r>
      <w:r w:rsidRPr="000679D0">
        <w:rPr>
          <w:b w:val="0"/>
          <w:sz w:val="22"/>
        </w:rPr>
        <w:t xml:space="preserve"> </w:t>
      </w:r>
      <w:r w:rsidRPr="000679D0">
        <w:rPr>
          <w:rStyle w:val="anchorantimarker"/>
          <w:b w:val="0"/>
          <w:sz w:val="22"/>
        </w:rPr>
        <w:t>se complessivamente superiori nell’anno a tale importo”. La modifica si propone di agevolare il controllo sulle contribuzioni progressive di importo pari o inferiore a euro 500 e la relativa contabilizzazione.</w:t>
      </w:r>
    </w:p>
    <w:p w:rsidR="00E97E40" w:rsidRPr="000679D0" w:rsidRDefault="00E97E40" w:rsidP="00E97E40">
      <w:pPr>
        <w:pStyle w:val="provvestremo"/>
        <w:spacing w:before="0" w:beforeAutospacing="0" w:after="0"/>
        <w:rPr>
          <w:rStyle w:val="anchorantimarker"/>
          <w:b w:val="0"/>
          <w:sz w:val="22"/>
        </w:rPr>
      </w:pPr>
      <w:r w:rsidRPr="000679D0">
        <w:rPr>
          <w:rStyle w:val="anchorantimarker"/>
          <w:b w:val="0"/>
          <w:i/>
          <w:sz w:val="22"/>
        </w:rPr>
        <w:t>B</w:t>
      </w:r>
      <w:r w:rsidRPr="000679D0">
        <w:rPr>
          <w:rStyle w:val="anchorantimarker"/>
          <w:b w:val="0"/>
          <w:sz w:val="22"/>
        </w:rPr>
        <w:t xml:space="preserve">) Al comma 3, quarto periodo, si prevede che </w:t>
      </w:r>
      <w:r w:rsidRPr="000679D0">
        <w:rPr>
          <w:b w:val="0"/>
          <w:sz w:val="22"/>
        </w:rPr>
        <w:t xml:space="preserve">l’elenco dei soggetti che hanno erogato i finanziamenti o i contributi con i relativi importi è pubblicato in maniera facilmente accessibile nel sito internet ufficiale del Parlamento italiano contestualmente alla sua trasmissione alla Presidenza della Camera, aggiungendo che quest’ultima è possibile </w:t>
      </w:r>
      <w:r w:rsidRPr="000679D0">
        <w:rPr>
          <w:rStyle w:val="anchorantimarker"/>
          <w:b w:val="0"/>
          <w:sz w:val="22"/>
        </w:rPr>
        <w:t>anche tramite PEC.</w:t>
      </w:r>
    </w:p>
    <w:p w:rsidR="00E97E40" w:rsidRPr="000679D0" w:rsidRDefault="00E97E40" w:rsidP="00E97E40">
      <w:pPr>
        <w:pStyle w:val="provvestremo"/>
        <w:spacing w:before="0" w:beforeAutospacing="0" w:after="0"/>
        <w:rPr>
          <w:rStyle w:val="anchorantimarker"/>
          <w:b w:val="0"/>
          <w:sz w:val="22"/>
        </w:rPr>
      </w:pPr>
      <w:r w:rsidRPr="000679D0">
        <w:rPr>
          <w:rStyle w:val="anchorantimarker"/>
          <w:b w:val="0"/>
          <w:i/>
          <w:sz w:val="22"/>
        </w:rPr>
        <w:t>C</w:t>
      </w:r>
      <w:r w:rsidRPr="000679D0">
        <w:rPr>
          <w:rStyle w:val="anchorantimarker"/>
          <w:b w:val="0"/>
          <w:sz w:val="22"/>
        </w:rPr>
        <w:t xml:space="preserve">) Allo scopo di chiarire la portata dell’estensione della disciplina della pubblicità e della trasparenza ad associazioni, fondazioni e comitati che evidenzino forme di collegamento con i soggetti politici, il comma 4 è stato riformulato.   </w:t>
      </w:r>
    </w:p>
    <w:p w:rsidR="00E97E40" w:rsidRPr="000679D0" w:rsidRDefault="00E97E40" w:rsidP="00E97E40">
      <w:pPr>
        <w:pStyle w:val="provvestremo"/>
        <w:spacing w:before="0" w:beforeAutospacing="0" w:after="0"/>
        <w:rPr>
          <w:b w:val="0"/>
          <w:sz w:val="22"/>
        </w:rPr>
      </w:pPr>
      <w:r w:rsidRPr="000679D0">
        <w:rPr>
          <w:rStyle w:val="anchorantimarker"/>
          <w:b w:val="0"/>
          <w:sz w:val="22"/>
        </w:rPr>
        <w:t xml:space="preserve">In particolare, </w:t>
      </w:r>
      <w:r w:rsidRPr="000679D0">
        <w:rPr>
          <w:b w:val="0"/>
          <w:sz w:val="22"/>
        </w:rPr>
        <w:t xml:space="preserve">ai sensi e per gli effetti dell’articolo 5 del decreto-legge n. 149 del 2013, sono equiparati ai partiti e movimenti politici:  </w:t>
      </w:r>
    </w:p>
    <w:p w:rsidR="00E97E40" w:rsidRPr="000679D0" w:rsidRDefault="00E97E40" w:rsidP="00E97E40">
      <w:pPr>
        <w:numPr>
          <w:ilvl w:val="0"/>
          <w:numId w:val="45"/>
        </w:numPr>
        <w:pBdr>
          <w:top w:val="nil"/>
          <w:left w:val="nil"/>
          <w:bottom w:val="nil"/>
          <w:right w:val="nil"/>
          <w:between w:val="nil"/>
        </w:pBdr>
        <w:rPr>
          <w:rFonts w:eastAsia="Times New Roman" w:cs="Times New Roman"/>
          <w:color w:val="000000"/>
          <w:szCs w:val="24"/>
        </w:rPr>
      </w:pPr>
      <w:r w:rsidRPr="000679D0">
        <w:rPr>
          <w:rFonts w:cs="Times New Roman"/>
          <w:szCs w:val="24"/>
        </w:rPr>
        <w:t>le fondazioni, le associazioni e i comitati la composizione dei cui organi direttivi o di gestione è determinata in tutto o in parte da deliberazioni di partiti o movimenti politici,</w:t>
      </w:r>
      <w:r w:rsidRPr="000679D0">
        <w:rPr>
          <w:rFonts w:eastAsia="Times New Roman" w:cs="Times New Roman"/>
          <w:color w:val="000000"/>
          <w:szCs w:val="24"/>
        </w:rPr>
        <w:t xml:space="preserve"> o l’attività dei quali si coordina con questi ultimi anche in conformità a previsioni contenute nei rispettivi statuti o atti costitutivi; </w:t>
      </w:r>
    </w:p>
    <w:p w:rsidR="00E97E40" w:rsidRPr="000679D0" w:rsidRDefault="00E97E40" w:rsidP="00E97E40">
      <w:pPr>
        <w:pStyle w:val="provvestremo"/>
        <w:numPr>
          <w:ilvl w:val="0"/>
          <w:numId w:val="45"/>
        </w:numPr>
        <w:spacing w:before="0" w:beforeAutospacing="0" w:after="0"/>
        <w:rPr>
          <w:b w:val="0"/>
          <w:sz w:val="22"/>
        </w:rPr>
      </w:pPr>
      <w:r w:rsidRPr="000679D0">
        <w:rPr>
          <w:b w:val="0"/>
          <w:sz w:val="22"/>
        </w:rPr>
        <w:t>le fondazioni, le associazioni e i comitati i cui organi direttivi</w:t>
      </w:r>
      <w:r w:rsidRPr="000679D0">
        <w:rPr>
          <w:sz w:val="22"/>
        </w:rPr>
        <w:t xml:space="preserve"> </w:t>
      </w:r>
      <w:r w:rsidRPr="000679D0">
        <w:rPr>
          <w:b w:val="0"/>
          <w:sz w:val="22"/>
        </w:rPr>
        <w:t xml:space="preserve">o di gestione sono composti </w:t>
      </w:r>
      <w:r w:rsidRPr="000679D0">
        <w:rPr>
          <w:rStyle w:val="anchorantimarker"/>
          <w:b w:val="0"/>
          <w:sz w:val="22"/>
        </w:rPr>
        <w:t>per almeno un terzo</w:t>
      </w:r>
      <w:r w:rsidRPr="000679D0">
        <w:rPr>
          <w:b w:val="0"/>
          <w:sz w:val="22"/>
        </w:rPr>
        <w:t xml:space="preserve"> da membri di organi di partiti o movimenti politici ovvero persone che sono o sono state, nei sei anni precedenti, membri del Parlamento nazionale o europeo o di assemblee elettive regionali o locali</w:t>
      </w:r>
      <w:r w:rsidRPr="000679D0">
        <w:rPr>
          <w:rStyle w:val="anchorantimarker"/>
          <w:b w:val="0"/>
          <w:sz w:val="22"/>
        </w:rPr>
        <w:t xml:space="preserve"> di comuni con più di 15.000 abitanti,</w:t>
      </w:r>
      <w:r w:rsidRPr="000679D0">
        <w:rPr>
          <w:b w:val="0"/>
          <w:sz w:val="22"/>
        </w:rPr>
        <w:t xml:space="preserve"> ovvero che ricoprono o hanno ricoperto, nei sei anni precedenti, incarichi di governo al livello nazionale, regionale o locale</w:t>
      </w:r>
      <w:r w:rsidRPr="000679D0">
        <w:rPr>
          <w:rStyle w:val="anchorantimarker"/>
          <w:b w:val="0"/>
          <w:sz w:val="22"/>
        </w:rPr>
        <w:t>, in comuni con più di 15.000 abitanti</w:t>
      </w:r>
      <w:r w:rsidRPr="000679D0">
        <w:rPr>
          <w:b w:val="0"/>
          <w:sz w:val="22"/>
        </w:rPr>
        <w:t xml:space="preserve">;  </w:t>
      </w:r>
    </w:p>
    <w:p w:rsidR="00E97E40" w:rsidRPr="000679D0" w:rsidRDefault="00E97E40" w:rsidP="00E97E40">
      <w:pPr>
        <w:pStyle w:val="provvestremo"/>
        <w:numPr>
          <w:ilvl w:val="0"/>
          <w:numId w:val="45"/>
        </w:numPr>
        <w:spacing w:before="0" w:beforeAutospacing="0" w:after="0"/>
        <w:rPr>
          <w:rStyle w:val="anchorantimarker"/>
          <w:b w:val="0"/>
          <w:sz w:val="22"/>
        </w:rPr>
      </w:pPr>
      <w:r w:rsidRPr="000679D0">
        <w:rPr>
          <w:b w:val="0"/>
          <w:sz w:val="22"/>
        </w:rPr>
        <w:t>le fondazioni, le associazioni e i comitati che erogano somme a titolo di liberalità o contribuiscono in misura pari o superiore a euro 5.000 l’anno al finanziamento di iniziative o servizi a titolo gratuito in favore di partiti, movimenti politici o loro articolazioni, di membri di organi o articolazioni comunque denominate di partiti o movimenti politici ovvero di persone titolari di cariche istituzionali nell’ambito di organi elettivi o di governo.</w:t>
      </w:r>
      <w:r w:rsidRPr="000679D0">
        <w:rPr>
          <w:rStyle w:val="anchorantimarker"/>
          <w:b w:val="0"/>
          <w:sz w:val="22"/>
        </w:rPr>
        <w:t>”</w:t>
      </w:r>
    </w:p>
    <w:p w:rsidR="00E97E40" w:rsidRPr="000679D0" w:rsidRDefault="00E97E40" w:rsidP="00E97E40">
      <w:pPr>
        <w:rPr>
          <w:rFonts w:eastAsia="Times New Roman" w:cs="Times New Roman"/>
          <w:color w:val="000000"/>
          <w:szCs w:val="24"/>
        </w:rPr>
      </w:pPr>
      <w:r w:rsidRPr="000679D0">
        <w:rPr>
          <w:rStyle w:val="anchorantimarker"/>
          <w:rFonts w:cs="Times New Roman"/>
          <w:i/>
          <w:color w:val="auto"/>
          <w:szCs w:val="24"/>
        </w:rPr>
        <w:t>D</w:t>
      </w:r>
      <w:r w:rsidRPr="000679D0">
        <w:rPr>
          <w:rStyle w:val="anchorantimarker"/>
          <w:rFonts w:cs="Times New Roman"/>
          <w:color w:val="auto"/>
          <w:szCs w:val="24"/>
        </w:rPr>
        <w:t>) D</w:t>
      </w:r>
      <w:r w:rsidRPr="000679D0">
        <w:rPr>
          <w:rStyle w:val="anchorantimarker"/>
          <w:rFonts w:cs="Times New Roman"/>
          <w:szCs w:val="24"/>
        </w:rPr>
        <w:t>opo il comma 4, è aggiunto il seguente: “4-</w:t>
      </w:r>
      <w:r w:rsidRPr="000679D0">
        <w:rPr>
          <w:rStyle w:val="anchorantimarker"/>
          <w:rFonts w:cs="Times New Roman"/>
          <w:i/>
          <w:szCs w:val="24"/>
        </w:rPr>
        <w:t>bis</w:t>
      </w:r>
      <w:r w:rsidRPr="000679D0">
        <w:rPr>
          <w:rStyle w:val="anchorantimarker"/>
          <w:rFonts w:cs="Times New Roman"/>
          <w:szCs w:val="24"/>
        </w:rPr>
        <w:t>.</w:t>
      </w:r>
      <w:r w:rsidRPr="000679D0">
        <w:rPr>
          <w:rFonts w:eastAsia="Times New Roman" w:cs="Times New Roman"/>
          <w:color w:val="000000"/>
          <w:szCs w:val="24"/>
        </w:rPr>
        <w:t xml:space="preserve"> Il comma 4, lettera </w:t>
      </w:r>
      <w:r w:rsidRPr="000679D0">
        <w:rPr>
          <w:rFonts w:eastAsia="Times New Roman" w:cs="Times New Roman"/>
          <w:i/>
          <w:color w:val="000000"/>
          <w:szCs w:val="24"/>
        </w:rPr>
        <w:t>b</w:t>
      </w:r>
      <w:r w:rsidRPr="000679D0">
        <w:rPr>
          <w:rFonts w:eastAsia="Times New Roman" w:cs="Times New Roman"/>
          <w:color w:val="000000"/>
          <w:szCs w:val="24"/>
        </w:rPr>
        <w:t xml:space="preserve">), non si applica agli enti del </w:t>
      </w:r>
      <w:r w:rsidRPr="000679D0">
        <w:rPr>
          <w:rFonts w:eastAsia="Times New Roman" w:cs="Times New Roman"/>
          <w:szCs w:val="24"/>
        </w:rPr>
        <w:t>T</w:t>
      </w:r>
      <w:r w:rsidRPr="000679D0">
        <w:rPr>
          <w:rFonts w:eastAsia="Times New Roman" w:cs="Times New Roman"/>
          <w:color w:val="000000"/>
          <w:szCs w:val="24"/>
        </w:rPr>
        <w:t>erzo settore iscritti nel registro unico nazionale di cui all’articolo 45 del decreto legislativo 3 luglio 2017, n. 117. Il comma 4, lettera b), non si applica altresì alle fondazioni, alle associazioni, ai comitati appartenenti alle confessioni religiose con le quali lo Stato ha stipulato patti, accordi o intese</w:t>
      </w:r>
      <w:r w:rsidRPr="000679D0">
        <w:rPr>
          <w:rFonts w:cs="Times New Roman"/>
          <w:szCs w:val="24"/>
        </w:rPr>
        <w:t xml:space="preserve">”.  </w:t>
      </w:r>
    </w:p>
    <w:p w:rsidR="00E97E40" w:rsidRPr="000679D0" w:rsidRDefault="00E97E40" w:rsidP="00E97E40">
      <w:pPr>
        <w:pStyle w:val="provvestremo"/>
        <w:spacing w:before="0" w:beforeAutospacing="0" w:after="0"/>
        <w:rPr>
          <w:b w:val="0"/>
          <w:sz w:val="22"/>
        </w:rPr>
      </w:pPr>
      <w:r w:rsidRPr="000679D0">
        <w:rPr>
          <w:b w:val="0"/>
          <w:sz w:val="22"/>
        </w:rPr>
        <w:t xml:space="preserve">Quest’ultima modifica è volta a sottrarre all’applicazione dell’articolo 5, comma 4, lettera </w:t>
      </w:r>
      <w:r w:rsidRPr="000679D0">
        <w:rPr>
          <w:b w:val="0"/>
          <w:i/>
          <w:sz w:val="22"/>
        </w:rPr>
        <w:t>b</w:t>
      </w:r>
      <w:r w:rsidRPr="000679D0">
        <w:rPr>
          <w:b w:val="0"/>
          <w:sz w:val="22"/>
        </w:rPr>
        <w:t>), le organizzazioni di volontariato, le associazioni di promozione sociale, gli enti filantropici, le reti associative, le società di mutuo soccorso, nonché le</w:t>
      </w:r>
      <w:r w:rsidRPr="000679D0">
        <w:rPr>
          <w:b w:val="0"/>
          <w:bCs w:val="0"/>
          <w:sz w:val="22"/>
        </w:rPr>
        <w:t xml:space="preserve"> imprese sociali e gli altri enti del Terzo settore</w:t>
      </w:r>
      <w:r w:rsidRPr="000679D0">
        <w:rPr>
          <w:b w:val="0"/>
          <w:sz w:val="22"/>
        </w:rPr>
        <w:t xml:space="preserve"> iscritti nel </w:t>
      </w:r>
      <w:r w:rsidRPr="000679D0">
        <w:rPr>
          <w:rStyle w:val="provvrubrica"/>
          <w:sz w:val="22"/>
        </w:rPr>
        <w:t>Registro unico nazionale, ed altresì</w:t>
      </w:r>
      <w:r w:rsidRPr="000679D0">
        <w:rPr>
          <w:b w:val="0"/>
          <w:bCs w:val="0"/>
          <w:sz w:val="22"/>
        </w:rPr>
        <w:t xml:space="preserve"> le fondazioni, le associazioni e i comitati</w:t>
      </w:r>
      <w:r w:rsidRPr="000679D0">
        <w:rPr>
          <w:rStyle w:val="provvrubrica"/>
          <w:sz w:val="22"/>
        </w:rPr>
        <w:t xml:space="preserve"> appartenenti a </w:t>
      </w:r>
      <w:r w:rsidRPr="000679D0">
        <w:rPr>
          <w:b w:val="0"/>
          <w:sz w:val="22"/>
        </w:rPr>
        <w:t>confessioni religiose con le quali lo Stato ha stipulato patti, accordi o</w:t>
      </w:r>
      <w:r w:rsidRPr="000679D0">
        <w:rPr>
          <w:sz w:val="22"/>
        </w:rPr>
        <w:t xml:space="preserve"> </w:t>
      </w:r>
      <w:r w:rsidRPr="000679D0">
        <w:rPr>
          <w:b w:val="0"/>
          <w:sz w:val="22"/>
        </w:rPr>
        <w:t>intese</w:t>
      </w:r>
      <w:r w:rsidRPr="000679D0">
        <w:rPr>
          <w:rStyle w:val="provvrubrica"/>
          <w:sz w:val="22"/>
        </w:rPr>
        <w:t>,</w:t>
      </w:r>
      <w:r w:rsidRPr="000679D0">
        <w:rPr>
          <w:b w:val="0"/>
          <w:sz w:val="22"/>
        </w:rPr>
        <w:t xml:space="preserve"> in considerazione della spiccata vocazione solidaristica e spesso sussidiaria di tali enti. Occorre aggiungere che gli enti del Terzo settore sono comunque assoggettati agli specifici obblighi di pubblicità, trasparenza e rendicontazione previsti dal decreto legislativo 3 luglio 2017, n. 117. </w:t>
      </w:r>
    </w:p>
    <w:p w:rsidR="00E97E40" w:rsidRPr="000679D0" w:rsidRDefault="00E97E40" w:rsidP="00E97E40">
      <w:pPr>
        <w:pStyle w:val="provvestremo"/>
        <w:spacing w:before="0" w:beforeAutospacing="0" w:after="0"/>
        <w:rPr>
          <w:b w:val="0"/>
          <w:sz w:val="22"/>
        </w:rPr>
      </w:pPr>
      <w:r w:rsidRPr="000679D0">
        <w:rPr>
          <w:b w:val="0"/>
          <w:sz w:val="22"/>
        </w:rPr>
        <w:t>In via transitoria, al comma 2 si è stabilito che fino all’operatività del Registro</w:t>
      </w:r>
      <w:r w:rsidRPr="000679D0">
        <w:rPr>
          <w:rStyle w:val="provvrubrica"/>
          <w:sz w:val="22"/>
        </w:rPr>
        <w:t xml:space="preserve"> unico nazionale del Terzo settore</w:t>
      </w:r>
      <w:r w:rsidRPr="000679D0">
        <w:rPr>
          <w:b w:val="0"/>
          <w:sz w:val="22"/>
        </w:rPr>
        <w:t xml:space="preserve"> </w:t>
      </w:r>
      <w:r w:rsidRPr="000679D0">
        <w:rPr>
          <w:rStyle w:val="anchorantimarker"/>
          <w:b w:val="0"/>
          <w:sz w:val="22"/>
        </w:rPr>
        <w:t>di cui all’articolo 45</w:t>
      </w:r>
      <w:r w:rsidRPr="000679D0">
        <w:rPr>
          <w:b w:val="0"/>
          <w:sz w:val="22"/>
        </w:rPr>
        <w:t xml:space="preserve"> del decreto legislativo 3 luglio 2017, n. 117, il requisito dell’iscrizione nel predetto registro previsto dall’articolo 5, comma 4-</w:t>
      </w:r>
      <w:r w:rsidRPr="000679D0">
        <w:rPr>
          <w:b w:val="0"/>
          <w:i/>
          <w:sz w:val="22"/>
        </w:rPr>
        <w:t>bis</w:t>
      </w:r>
      <w:r w:rsidRPr="000679D0">
        <w:rPr>
          <w:b w:val="0"/>
          <w:sz w:val="22"/>
        </w:rPr>
        <w:t>,</w:t>
      </w:r>
      <w:r w:rsidRPr="000679D0">
        <w:rPr>
          <w:rStyle w:val="anchorantimarker"/>
          <w:b w:val="0"/>
          <w:sz w:val="22"/>
        </w:rPr>
        <w:t xml:space="preserve"> del decreto-legge 28 dicembre 2013, n. 149, convertito, con modificazioni, dalla legge 21 febbraio 2014, n. 13,</w:t>
      </w:r>
      <w:r w:rsidRPr="000679D0">
        <w:rPr>
          <w:b w:val="0"/>
          <w:sz w:val="22"/>
        </w:rPr>
        <w:t xml:space="preserve"> s’intende soddisfatto con l’iscrizione in uno dei registri previsti dalle normative di settore, ai sensi dell’articolo 101, comma 3, del decreto legislativo 3 luglio 2017, n. 117.</w:t>
      </w:r>
    </w:p>
    <w:p w:rsidR="00E97E40" w:rsidRPr="000679D0" w:rsidRDefault="00E97E40" w:rsidP="00E97E40">
      <w:pPr>
        <w:pStyle w:val="provvestremo"/>
        <w:spacing w:before="0" w:beforeAutospacing="0" w:after="0"/>
        <w:rPr>
          <w:rStyle w:val="anchorantimarker"/>
          <w:b w:val="0"/>
          <w:sz w:val="22"/>
        </w:rPr>
      </w:pPr>
      <w:r w:rsidRPr="000679D0">
        <w:rPr>
          <w:rStyle w:val="anchorantimarker"/>
          <w:b w:val="0"/>
          <w:sz w:val="22"/>
        </w:rPr>
        <w:t>3. Il comma 3 apporta modifiche alla legge 19 gennaio 2019, n. 3 (</w:t>
      </w:r>
      <w:r w:rsidRPr="000679D0">
        <w:rPr>
          <w:b w:val="0"/>
          <w:sz w:val="22"/>
        </w:rPr>
        <w:t>Misure per il contrasto dei reati contro la pubblica amministrazione, nonché in materia di prescrizione del reato e in materia di trasparenza dei partiti e movimenti politici</w:t>
      </w:r>
      <w:r w:rsidRPr="000679D0">
        <w:rPr>
          <w:rStyle w:val="anchorantimarker"/>
          <w:b w:val="0"/>
          <w:sz w:val="22"/>
        </w:rPr>
        <w:t>).</w:t>
      </w:r>
    </w:p>
    <w:p w:rsidR="00E97E40" w:rsidRPr="000679D0" w:rsidRDefault="00E97E40" w:rsidP="00E97E40">
      <w:pPr>
        <w:pStyle w:val="provvestremo"/>
        <w:spacing w:before="0" w:beforeAutospacing="0" w:after="0"/>
        <w:rPr>
          <w:rStyle w:val="anchorantimarker"/>
          <w:b w:val="0"/>
          <w:sz w:val="22"/>
        </w:rPr>
      </w:pPr>
      <w:r w:rsidRPr="000679D0">
        <w:rPr>
          <w:rStyle w:val="anchorantimarker"/>
          <w:b w:val="0"/>
          <w:sz w:val="22"/>
        </w:rPr>
        <w:t xml:space="preserve">Si prevede anzitutto, al comma 3, lettera </w:t>
      </w:r>
      <w:r w:rsidRPr="000679D0">
        <w:rPr>
          <w:rStyle w:val="anchorantimarker"/>
          <w:b w:val="0"/>
          <w:i/>
          <w:sz w:val="22"/>
        </w:rPr>
        <w:t>a</w:t>
      </w:r>
      <w:r w:rsidRPr="000679D0">
        <w:rPr>
          <w:rStyle w:val="anchorantimarker"/>
          <w:b w:val="0"/>
          <w:sz w:val="22"/>
        </w:rPr>
        <w:t>),  che all’articolo 1, comma 11, della legge 19 gennaio 2019, n. 3 – concernente</w:t>
      </w:r>
      <w:r w:rsidRPr="000679D0">
        <w:rPr>
          <w:b w:val="0"/>
          <w:sz w:val="22"/>
        </w:rPr>
        <w:t xml:space="preserve"> l’elargizione di contributi in denaro complessivamente superiori nell’anno a euro 500 per soggetto erogatore, o di prestazioni o altre forme di sostegno di valore equivalente per soggetto erogatore, a partiti o movimenti politici </w:t>
      </w:r>
      <w:r w:rsidRPr="000679D0">
        <w:rPr>
          <w:rStyle w:val="anchorantimarker"/>
          <w:b w:val="0"/>
          <w:sz w:val="22"/>
        </w:rPr>
        <w:t xml:space="preserve">– sono apportate le modifiche di séguito elencate. </w:t>
      </w:r>
    </w:p>
    <w:p w:rsidR="00E97E40" w:rsidRPr="000679D0" w:rsidRDefault="00E97E40" w:rsidP="00E97E40">
      <w:pPr>
        <w:pStyle w:val="provvestremo"/>
        <w:spacing w:before="0" w:beforeAutospacing="0" w:after="0"/>
        <w:rPr>
          <w:rStyle w:val="anchorantimarker"/>
          <w:b w:val="0"/>
          <w:sz w:val="22"/>
        </w:rPr>
      </w:pPr>
      <w:r w:rsidRPr="000679D0">
        <w:rPr>
          <w:rStyle w:val="anchorantimarker"/>
          <w:b w:val="0"/>
          <w:sz w:val="22"/>
        </w:rPr>
        <w:t xml:space="preserve">Al terzo periodo, le parole “entro il mese solare successivo a quello di percezione, in apposito registro” sono sostituite dalle seguenti: “entro il mese solare successivo a quello di percezione </w:t>
      </w:r>
      <w:r w:rsidRPr="000679D0">
        <w:rPr>
          <w:b w:val="0"/>
          <w:sz w:val="22"/>
        </w:rPr>
        <w:t>ovvero,</w:t>
      </w:r>
      <w:r w:rsidRPr="000679D0">
        <w:rPr>
          <w:rStyle w:val="anchorantimarker"/>
          <w:b w:val="0"/>
          <w:sz w:val="22"/>
        </w:rPr>
        <w:t xml:space="preserve"> in caso di contributi, prestazioni o altre forme di sostegno di importo unitario inferiore o uguale a euro 500</w:t>
      </w:r>
      <w:r w:rsidRPr="000679D0">
        <w:rPr>
          <w:b w:val="0"/>
          <w:sz w:val="22"/>
        </w:rPr>
        <w:t>,</w:t>
      </w:r>
      <w:r w:rsidRPr="000679D0">
        <w:rPr>
          <w:rStyle w:val="anchorantimarker"/>
          <w:b w:val="0"/>
          <w:sz w:val="22"/>
        </w:rPr>
        <w:t xml:space="preserve"> entro il mese di marzo dell’anno solare successivo</w:t>
      </w:r>
      <w:r w:rsidRPr="000679D0">
        <w:rPr>
          <w:b w:val="0"/>
          <w:sz w:val="22"/>
        </w:rPr>
        <w:t xml:space="preserve"> </w:t>
      </w:r>
      <w:r w:rsidRPr="000679D0">
        <w:rPr>
          <w:rStyle w:val="anchorantimarker"/>
          <w:b w:val="0"/>
          <w:sz w:val="22"/>
        </w:rPr>
        <w:t>se complessivamente superiori nell’anno a tale importo, in apposito registro numerato progressivamente e firmato su ogni foglio dal rappresentante legale o dal tesoriere,”. La modifica si propone di agevolare il controllo sulle elargizioni progressive di importo pari o inferiore a euro 500 e la relativa contabilizzazione.</w:t>
      </w:r>
    </w:p>
    <w:p w:rsidR="00E97E40" w:rsidRPr="000679D0" w:rsidRDefault="00E97E40" w:rsidP="00E97E40">
      <w:pPr>
        <w:pStyle w:val="provvestremo"/>
        <w:spacing w:before="0" w:beforeAutospacing="0" w:after="0"/>
        <w:rPr>
          <w:rStyle w:val="anchorantimarker"/>
          <w:b w:val="0"/>
          <w:sz w:val="22"/>
        </w:rPr>
      </w:pPr>
      <w:r w:rsidRPr="000679D0">
        <w:rPr>
          <w:rStyle w:val="anchorantimarker"/>
          <w:b w:val="0"/>
          <w:sz w:val="22"/>
        </w:rPr>
        <w:t xml:space="preserve">A fini di maggiore chiarezza, al quarto periodo, le parole “e in ogni caso l’annotazione  deve essere eseguita entro il mese solare successivo a quello di percezione” sono soppresse. </w:t>
      </w:r>
    </w:p>
    <w:p w:rsidR="00E97E40" w:rsidRPr="000679D0" w:rsidRDefault="00E97E40" w:rsidP="00E97E40">
      <w:pPr>
        <w:pStyle w:val="provvestremo"/>
        <w:spacing w:before="0" w:beforeAutospacing="0" w:after="0"/>
        <w:rPr>
          <w:rStyle w:val="anchorantimarker"/>
          <w:b w:val="0"/>
          <w:sz w:val="22"/>
        </w:rPr>
      </w:pPr>
      <w:r w:rsidRPr="000679D0">
        <w:rPr>
          <w:rStyle w:val="anchorantimarker"/>
          <w:b w:val="0"/>
          <w:sz w:val="22"/>
        </w:rPr>
        <w:t xml:space="preserve">Il comma 3, lettera </w:t>
      </w:r>
      <w:r w:rsidRPr="000679D0">
        <w:rPr>
          <w:rStyle w:val="anchorantimarker"/>
          <w:b w:val="0"/>
          <w:i/>
          <w:sz w:val="22"/>
        </w:rPr>
        <w:t>b</w:t>
      </w:r>
      <w:r w:rsidRPr="000679D0">
        <w:rPr>
          <w:rStyle w:val="anchorantimarker"/>
          <w:b w:val="0"/>
          <w:sz w:val="22"/>
        </w:rPr>
        <w:t>), dell’articolo che si illustra introduce poi modifiche all’articolo 1, comma 21, della legge 19 gennaio 2019, n. 3, contenente la disciplina sanzionatoria, che si riporta per esteso nel testo vigente: “</w:t>
      </w:r>
      <w:r w:rsidRPr="000679D0">
        <w:rPr>
          <w:b w:val="0"/>
          <w:i/>
          <w:sz w:val="22"/>
        </w:rPr>
        <w:t>Al partito o al movimento politico che viola i divieti di cui ai commi 11, secondo periodo, e 12 del presente articolo la Commissione per la trasparenza e il controllo dei rendiconti dei partiti e dei movimenti politici, di cui all'</w:t>
      </w:r>
      <w:hyperlink r:id="rId12" w:anchor="id=10LX0000771447ART21,__m=document" w:history="1">
        <w:r w:rsidRPr="000679D0">
          <w:rPr>
            <w:rStyle w:val="linkneltesto"/>
            <w:b w:val="0"/>
            <w:sz w:val="22"/>
          </w:rPr>
          <w:t>articolo 9, comma 3, della legge 6 luglio 2012, n. 96</w:t>
        </w:r>
      </w:hyperlink>
      <w:r w:rsidRPr="000679D0">
        <w:rPr>
          <w:b w:val="0"/>
          <w:sz w:val="22"/>
        </w:rPr>
        <w:t>,</w:t>
      </w:r>
      <w:r w:rsidRPr="000679D0">
        <w:rPr>
          <w:b w:val="0"/>
          <w:i/>
          <w:sz w:val="22"/>
        </w:rPr>
        <w:t xml:space="preserve"> applica la sanzione amministrativa pecuniaria di importo non inferiore al triplo e non superiore al quintuplo del valore dei contributi, delle prestazioni o delle altre forme di sostegno a carattere patrimoniale ricevuti</w:t>
      </w:r>
      <w:r w:rsidRPr="000679D0">
        <w:rPr>
          <w:rStyle w:val="anchorantimarker"/>
          <w:b w:val="0"/>
          <w:sz w:val="22"/>
        </w:rPr>
        <w:t xml:space="preserve">”. </w:t>
      </w:r>
    </w:p>
    <w:p w:rsidR="00E97E40" w:rsidRPr="000679D0" w:rsidRDefault="00E97E40" w:rsidP="00E97E40">
      <w:pPr>
        <w:pStyle w:val="provvestremo"/>
        <w:spacing w:before="0" w:beforeAutospacing="0" w:after="0"/>
        <w:rPr>
          <w:rStyle w:val="anchorantimarker"/>
          <w:b w:val="0"/>
          <w:sz w:val="22"/>
        </w:rPr>
      </w:pPr>
      <w:r w:rsidRPr="000679D0">
        <w:rPr>
          <w:rStyle w:val="anchorantimarker"/>
          <w:b w:val="0"/>
          <w:sz w:val="22"/>
        </w:rPr>
        <w:t>I divieti ai quali la disposizione fa riferimento sono pertanto quello di cui al comma 11, secondo periodo (“</w:t>
      </w:r>
      <w:r w:rsidRPr="000679D0">
        <w:rPr>
          <w:b w:val="0"/>
          <w:i/>
          <w:sz w:val="22"/>
        </w:rPr>
        <w:t>È fatto divieto ai partiti o movimenti politici di ricevere contributi, prestazioni gratuite o altre forme di sostegno a carattere patrimoniale, in qualsiasi modo erogati, ivi compresa la messa a disposizione con carattere di stabilità di servizi a titolo gratuito, da parte di persone fisiche o enti che si dichiarino contrari alla pubblicità dei relativi dati</w:t>
      </w:r>
      <w:r w:rsidRPr="000679D0">
        <w:rPr>
          <w:rStyle w:val="anchorantimarker"/>
          <w:b w:val="0"/>
          <w:sz w:val="22"/>
        </w:rPr>
        <w:t>”); e quello di cui al comma 12 (“</w:t>
      </w:r>
      <w:r w:rsidRPr="000679D0">
        <w:rPr>
          <w:b w:val="0"/>
          <w:i/>
          <w:sz w:val="22"/>
        </w:rPr>
        <w:t>Ai partiti e ai movimenti politici e alle liste di cui al comma 11, primo periodo, è fatto divieto di ricevere contributi, prestazioni o altre forme di sostegno provenienti da governi o enti pubblici di Stati esteri e da persone giuridiche aventi sede in uno Stato estero non assoggettate a obblighi fiscali in Italia. E' fatto divieto alle persone fisiche maggiorenni non iscritte nelle liste elettorali o private del diritto di voto di elargire contributi ai partiti o movimenti politici ovvero alle liste di cui al comma 11, primo periodo</w:t>
      </w:r>
      <w:r w:rsidRPr="000679D0">
        <w:rPr>
          <w:rStyle w:val="anchorantimarker"/>
          <w:b w:val="0"/>
          <w:sz w:val="22"/>
        </w:rPr>
        <w:t>”).</w:t>
      </w:r>
    </w:p>
    <w:p w:rsidR="00E97E40" w:rsidRPr="000679D0" w:rsidRDefault="00E97E40" w:rsidP="00E97E40">
      <w:pPr>
        <w:pStyle w:val="provvestremo"/>
        <w:spacing w:before="0" w:beforeAutospacing="0" w:after="0"/>
        <w:rPr>
          <w:rStyle w:val="anchorantimarker"/>
          <w:b w:val="0"/>
          <w:sz w:val="22"/>
        </w:rPr>
      </w:pPr>
      <w:r w:rsidRPr="000679D0">
        <w:rPr>
          <w:rStyle w:val="anchorantimarker"/>
          <w:b w:val="0"/>
          <w:sz w:val="22"/>
        </w:rPr>
        <w:t xml:space="preserve">Una prima modifica al comma 21 riguarda il riferimento ai divieti di cui al comma 12, primo periodo, relativo al divieto di ricevere </w:t>
      </w:r>
      <w:r w:rsidRPr="000679D0">
        <w:rPr>
          <w:b w:val="0"/>
          <w:sz w:val="22"/>
        </w:rPr>
        <w:t>contributi, prestazioni o altre forme di sostegno provenienti da governi o enti pubblici di Stati esteri e da persone giuridiche aventi sede in uno Stato estero non assoggettate a obblighi fiscali in Italia.</w:t>
      </w:r>
      <w:r w:rsidRPr="000679D0">
        <w:rPr>
          <w:rStyle w:val="anchorantimarker"/>
          <w:b w:val="0"/>
          <w:sz w:val="22"/>
        </w:rPr>
        <w:t xml:space="preserve"> </w:t>
      </w:r>
    </w:p>
    <w:p w:rsidR="00E97E40" w:rsidRPr="000679D0" w:rsidRDefault="00E97E40" w:rsidP="00E97E40">
      <w:pPr>
        <w:pStyle w:val="provvestremo"/>
        <w:spacing w:before="0" w:beforeAutospacing="0" w:after="0"/>
        <w:rPr>
          <w:rStyle w:val="anchorantimarker"/>
          <w:b w:val="0"/>
          <w:sz w:val="22"/>
        </w:rPr>
      </w:pPr>
      <w:r w:rsidRPr="000679D0">
        <w:rPr>
          <w:rStyle w:val="anchorantimarker"/>
          <w:b w:val="0"/>
          <w:sz w:val="22"/>
        </w:rPr>
        <w:t>Con tale modifica si precisa che “</w:t>
      </w:r>
      <w:r w:rsidRPr="000679D0">
        <w:rPr>
          <w:b w:val="0"/>
          <w:sz w:val="22"/>
        </w:rPr>
        <w:t>Al partito o al movimento politico che viola i divieti di cui ai commi 11, secondo periodo, e 12</w:t>
      </w:r>
      <w:r w:rsidRPr="000679D0">
        <w:rPr>
          <w:rStyle w:val="anchorantimarker"/>
          <w:sz w:val="22"/>
        </w:rPr>
        <w:t xml:space="preserve">, </w:t>
      </w:r>
      <w:r w:rsidRPr="000679D0">
        <w:rPr>
          <w:rStyle w:val="anchorantimarker"/>
          <w:b w:val="0"/>
          <w:sz w:val="22"/>
        </w:rPr>
        <w:t>primo periodo,</w:t>
      </w:r>
      <w:r w:rsidRPr="000679D0">
        <w:rPr>
          <w:b w:val="0"/>
          <w:sz w:val="22"/>
        </w:rPr>
        <w:t xml:space="preserve"> del presente articolo la Commissione per la trasparenza e il controllo dei rendiconti dei partiti e dei movimenti politici, di cui all’</w:t>
      </w:r>
      <w:hyperlink r:id="rId13" w:anchor="id=10LX0000771447ART21,__m=document" w:history="1">
        <w:r w:rsidRPr="000679D0">
          <w:rPr>
            <w:b w:val="0"/>
            <w:iCs/>
            <w:sz w:val="22"/>
          </w:rPr>
          <w:t>articolo 9, comma 3, della legge 6 luglio 2012, n. 96</w:t>
        </w:r>
      </w:hyperlink>
      <w:r w:rsidRPr="000679D0">
        <w:rPr>
          <w:b w:val="0"/>
          <w:sz w:val="22"/>
        </w:rPr>
        <w:t>, applica la sanzione amministrativa pecuniaria di importo non inferiore al triplo e non superiore al quintuplo del valore dei contributi, delle prestazioni o delle altre forme di sostegno a carattere patrimoniale ricevuti</w:t>
      </w:r>
      <w:r w:rsidRPr="000679D0">
        <w:rPr>
          <w:rStyle w:val="anchorantimarker"/>
          <w:b w:val="0"/>
          <w:sz w:val="22"/>
        </w:rPr>
        <w:t xml:space="preserve"> se entro tre mesi dal ricevimento non ha provveduto al versamento del corrispondente importo alla cassa delle ammende in conformità al comma 13.</w:t>
      </w:r>
    </w:p>
    <w:p w:rsidR="00E97E40" w:rsidRPr="000679D0" w:rsidRDefault="00E97E40" w:rsidP="00E97E40">
      <w:pPr>
        <w:pStyle w:val="provvestremo"/>
        <w:spacing w:before="0" w:beforeAutospacing="0" w:after="0"/>
        <w:rPr>
          <w:rStyle w:val="anchorantimarker"/>
          <w:b w:val="0"/>
          <w:sz w:val="22"/>
        </w:rPr>
      </w:pPr>
      <w:r w:rsidRPr="000679D0">
        <w:rPr>
          <w:rStyle w:val="anchorantimarker"/>
          <w:b w:val="0"/>
          <w:sz w:val="22"/>
        </w:rPr>
        <w:t xml:space="preserve">Alla fine del comma 21, come integrato dalle precedenti modifiche, è poi aggiunto il seguente ulteriore periodo: “In caso di violazione del divieto di cui al comma 12, secondo periodo, si applicano le sanzioni di cui al periodo precedente se entro tre mesi dalla piena conoscenza della sussistenza delle condizioni ostative di cui al comma 12, secondo periodo, il partito o movimento politico non ha provveduto al versamento del corrispondente importo alla cassa delle ammende in conformità al comma 13”.   </w:t>
      </w:r>
    </w:p>
    <w:p w:rsidR="00E97E40" w:rsidRPr="000679D0" w:rsidRDefault="00E97E40" w:rsidP="00E97E40">
      <w:pPr>
        <w:pStyle w:val="provvestremo"/>
        <w:spacing w:before="0" w:beforeAutospacing="0" w:after="0"/>
        <w:rPr>
          <w:rStyle w:val="anchorantimarker"/>
          <w:b w:val="0"/>
          <w:sz w:val="22"/>
        </w:rPr>
      </w:pPr>
      <w:r w:rsidRPr="000679D0">
        <w:rPr>
          <w:rStyle w:val="anchorantimarker"/>
          <w:b w:val="0"/>
          <w:sz w:val="22"/>
        </w:rPr>
        <w:t>La disposizione appare necessaria in considerazione dell’oggettiva difficoltà di controllare all’atto del ricevimento o nella sua immediatezza il requisito della iscrizione nelle liste elettorali e dell’assenza di provvedimenti di privazione del diritto di voto.</w:t>
      </w:r>
    </w:p>
    <w:p w:rsidR="00E97E40" w:rsidRPr="000679D0" w:rsidRDefault="00E97E40" w:rsidP="00E97E40">
      <w:pPr>
        <w:pStyle w:val="provvestremo"/>
        <w:spacing w:before="0" w:beforeAutospacing="0" w:after="0"/>
        <w:rPr>
          <w:rStyle w:val="anchorantimarker"/>
          <w:b w:val="0"/>
          <w:sz w:val="22"/>
        </w:rPr>
      </w:pPr>
      <w:r w:rsidRPr="000679D0">
        <w:rPr>
          <w:rStyle w:val="anchorantimarker"/>
          <w:b w:val="0"/>
          <w:sz w:val="22"/>
        </w:rPr>
        <w:t xml:space="preserve">Il comma 3, lettera </w:t>
      </w:r>
      <w:r w:rsidRPr="000679D0">
        <w:rPr>
          <w:rStyle w:val="anchorantimarker"/>
          <w:b w:val="0"/>
          <w:i/>
          <w:sz w:val="22"/>
        </w:rPr>
        <w:t>c</w:t>
      </w:r>
      <w:r w:rsidRPr="000679D0">
        <w:rPr>
          <w:rStyle w:val="anchorantimarker"/>
          <w:b w:val="0"/>
          <w:sz w:val="22"/>
        </w:rPr>
        <w:t xml:space="preserve">), dell’articolo che si illustra, all’articolo 1, comma 28, della legge 19 gennaio 2019, n. 3, che estende ad associazioni, fondazioni e comitati l’applicazione dei commi da 11 a 27 dell’articolo 1 citato, aggiunge infine il seguente periodo: “È fatto salvo quanto disposto all’articolo 5, comma 4-bis, del decreto-legge 28 dicembre 2013, n. 149, convertito, con modificazioni, dalla legge 21 febbraio 2014, n. 13.”. </w:t>
      </w:r>
    </w:p>
    <w:p w:rsidR="00E97E40" w:rsidRPr="000679D0" w:rsidRDefault="00E97E40" w:rsidP="00E97E40">
      <w:pPr>
        <w:pStyle w:val="provvestremo"/>
        <w:spacing w:before="0" w:beforeAutospacing="0" w:after="0"/>
        <w:rPr>
          <w:rStyle w:val="anchorantimarker"/>
          <w:b w:val="0"/>
          <w:sz w:val="22"/>
        </w:rPr>
      </w:pPr>
      <w:r w:rsidRPr="000679D0">
        <w:rPr>
          <w:rStyle w:val="anchorantimarker"/>
          <w:b w:val="0"/>
          <w:sz w:val="22"/>
        </w:rPr>
        <w:t xml:space="preserve">Si tratta di precisazione opportuna per coordinare la predetta estensione con la sottrazione degli enti del terzo settore sopra menzionati all’applicazione dell’articolo 5 del decreto-legge n. 149 del 2013, nelle ipotesi di cui al comma 4, lettera </w:t>
      </w:r>
      <w:r w:rsidRPr="000679D0">
        <w:rPr>
          <w:rStyle w:val="anchorantimarker"/>
          <w:b w:val="0"/>
          <w:i/>
          <w:sz w:val="22"/>
        </w:rPr>
        <w:t>b</w:t>
      </w:r>
      <w:r w:rsidRPr="000679D0">
        <w:rPr>
          <w:rStyle w:val="anchorantimarker"/>
          <w:b w:val="0"/>
          <w:sz w:val="22"/>
        </w:rPr>
        <w:t>), dello stesso articolo 5.</w:t>
      </w:r>
    </w:p>
    <w:p w:rsidR="00E97E40" w:rsidRPr="000679D0" w:rsidRDefault="00E97E40" w:rsidP="00E97E40">
      <w:pPr>
        <w:pStyle w:val="provvestremo"/>
        <w:spacing w:before="0" w:beforeAutospacing="0" w:after="0"/>
        <w:rPr>
          <w:rStyle w:val="anchorantimarker"/>
          <w:b w:val="0"/>
          <w:sz w:val="22"/>
        </w:rPr>
      </w:pPr>
      <w:r w:rsidRPr="000679D0">
        <w:rPr>
          <w:rStyle w:val="anchorantimarker"/>
          <w:b w:val="0"/>
          <w:sz w:val="22"/>
        </w:rPr>
        <w:t xml:space="preserve">Il comma 3, lettera </w:t>
      </w:r>
      <w:r w:rsidRPr="000679D0">
        <w:rPr>
          <w:rStyle w:val="anchorantimarker"/>
          <w:b w:val="0"/>
          <w:i/>
          <w:sz w:val="22"/>
        </w:rPr>
        <w:t>d</w:t>
      </w:r>
      <w:r w:rsidRPr="000679D0">
        <w:rPr>
          <w:rStyle w:val="anchorantimarker"/>
          <w:b w:val="0"/>
          <w:sz w:val="22"/>
        </w:rPr>
        <w:t>), dell’articolo che si illustra, all’articolo 1 della legge 19 gennaio 2019, n. 3, dopo il comma 28, è aggiunto il comma 28-</w:t>
      </w:r>
      <w:r w:rsidRPr="000679D0">
        <w:rPr>
          <w:rStyle w:val="anchorantimarker"/>
          <w:b w:val="0"/>
          <w:i/>
          <w:sz w:val="22"/>
        </w:rPr>
        <w:t>bis</w:t>
      </w:r>
      <w:r w:rsidRPr="000679D0">
        <w:rPr>
          <w:rStyle w:val="anchorantimarker"/>
          <w:b w:val="0"/>
          <w:sz w:val="22"/>
        </w:rPr>
        <w:t>, che introduce una serie di deroghe.</w:t>
      </w:r>
    </w:p>
    <w:p w:rsidR="00E97E40" w:rsidRPr="000679D0" w:rsidRDefault="00E97E40" w:rsidP="00E97E40">
      <w:pPr>
        <w:pStyle w:val="provvestremo"/>
        <w:spacing w:before="0" w:beforeAutospacing="0" w:after="0"/>
        <w:rPr>
          <w:rStyle w:val="anchorantimarker"/>
          <w:b w:val="0"/>
          <w:sz w:val="22"/>
        </w:rPr>
      </w:pPr>
      <w:r w:rsidRPr="000679D0">
        <w:rPr>
          <w:rStyle w:val="anchorantimarker"/>
          <w:b w:val="0"/>
          <w:sz w:val="22"/>
        </w:rPr>
        <w:t>In primo luogo, in deroga al comma 28, alle fondazioni, alle associazioni e ai comitati, il termine per gli adempimenti fissato al mese solare successivo si intende fissato, salvo che per i comitati elettorali, al secondo mese solare successivo. Si tratta di una previsione diretta ad agevolare soggetti rispetto ai quali non rilevano le esigenze di tempestivo adempimento degli obblighi di trasparenza connessi anche alle scadenze elettorali.</w:t>
      </w:r>
    </w:p>
    <w:p w:rsidR="00E97E40" w:rsidRPr="000679D0" w:rsidRDefault="00E97E40" w:rsidP="00E97E40">
      <w:pPr>
        <w:pStyle w:val="provvestremo"/>
        <w:spacing w:before="0" w:beforeAutospacing="0" w:after="0"/>
        <w:rPr>
          <w:b w:val="0"/>
          <w:sz w:val="22"/>
        </w:rPr>
      </w:pPr>
      <w:r w:rsidRPr="000679D0">
        <w:rPr>
          <w:rStyle w:val="anchorantimarker"/>
          <w:b w:val="0"/>
          <w:sz w:val="22"/>
        </w:rPr>
        <w:t>Una seconda deroga riguarda il profilo sanzionatorio, laddove si prevede che alle fondazioni, alle associazioni e ai comitati</w:t>
      </w:r>
      <w:r w:rsidRPr="000679D0">
        <w:rPr>
          <w:b w:val="0"/>
          <w:sz w:val="22"/>
        </w:rPr>
        <w:t>, ove non riconducibili alle lettere a) e c) dell’articolo 5, comma 4, del d.l. n. 149 del 2013 – quindi ove non si tratti di enti associativi strettamente collegati con partiti e movimenti –</w:t>
      </w:r>
      <w:r w:rsidRPr="000679D0">
        <w:rPr>
          <w:rStyle w:val="anchorantimarker"/>
          <w:b w:val="0"/>
          <w:sz w:val="22"/>
        </w:rPr>
        <w:t xml:space="preserve"> non si applica il citato </w:t>
      </w:r>
      <w:r w:rsidRPr="000679D0">
        <w:rPr>
          <w:b w:val="0"/>
          <w:sz w:val="22"/>
        </w:rPr>
        <w:t xml:space="preserve">comma 12, primo periodo; ai medesimi enti il comma 12, secondo periodo, non si applica in caso di elargizioni disposte da persone fisiche maggiorenni straniere. </w:t>
      </w:r>
    </w:p>
    <w:p w:rsidR="00E97E40" w:rsidRPr="000679D0" w:rsidRDefault="00E97E40" w:rsidP="00E97E40">
      <w:pPr>
        <w:pStyle w:val="provvestremo"/>
        <w:spacing w:before="0" w:beforeAutospacing="0" w:after="0"/>
        <w:rPr>
          <w:b w:val="0"/>
          <w:sz w:val="22"/>
        </w:rPr>
      </w:pPr>
      <w:r w:rsidRPr="000679D0">
        <w:rPr>
          <w:rStyle w:val="anchorantimarker"/>
          <w:b w:val="0"/>
          <w:sz w:val="22"/>
        </w:rPr>
        <w:t>Agli enti di cui al periodo precedente, in caso di violazione degli ulteriori divieti di cui al comma 12 del presente articolo, il comma 21 si applica solo in relazione a contributi, prestazioni o altre forme di sostegno di importo superiore nell’anno a euro 500</w:t>
      </w:r>
      <w:r w:rsidRPr="000679D0">
        <w:rPr>
          <w:b w:val="0"/>
          <w:sz w:val="22"/>
        </w:rPr>
        <w:t xml:space="preserve">. </w:t>
      </w:r>
    </w:p>
    <w:p w:rsidR="00E97E40" w:rsidRPr="000679D0" w:rsidRDefault="00E97E40" w:rsidP="00E97E40">
      <w:pPr>
        <w:rPr>
          <w:rFonts w:eastAsia="Times New Roman" w:cs="Times New Roman"/>
          <w:bCs/>
          <w:color w:val="000000"/>
          <w:szCs w:val="24"/>
          <w:lang w:eastAsia="it-IT"/>
        </w:rPr>
      </w:pPr>
      <w:r w:rsidRPr="000679D0">
        <w:rPr>
          <w:rStyle w:val="anchorantimarker"/>
          <w:rFonts w:cs="Times New Roman"/>
          <w:szCs w:val="24"/>
        </w:rPr>
        <w:t>Al comma 4 dell’articolo in esame si prevede che i termini di cui all’articolo 1, comma 28-</w:t>
      </w:r>
      <w:r w:rsidRPr="000679D0">
        <w:rPr>
          <w:rStyle w:val="anchorantimarker"/>
          <w:rFonts w:cs="Times New Roman"/>
          <w:i/>
          <w:szCs w:val="24"/>
        </w:rPr>
        <w:t>bis</w:t>
      </w:r>
      <w:r w:rsidRPr="000679D0">
        <w:rPr>
          <w:rStyle w:val="anchorantimarker"/>
          <w:rFonts w:cs="Times New Roman"/>
          <w:szCs w:val="24"/>
        </w:rPr>
        <w:t>, primo periodo, della legge 19 gennaio 2019, n. 3, si applicano agli adempimenti relativi ad elargizioni, finanziamenti e contributi ricevuti a partire dal centoventesimo giorno successivo all’entrata in vigore della medesima legge.</w:t>
      </w:r>
    </w:p>
    <w:p w:rsidR="00E97E40" w:rsidRDefault="00E97E40" w:rsidP="00E97E40">
      <w:pPr>
        <w:tabs>
          <w:tab w:val="left" w:pos="4253"/>
        </w:tabs>
        <w:jc w:val="center"/>
        <w:rPr>
          <w:rFonts w:cs="Times New Roman"/>
          <w:b/>
          <w:color w:val="000000"/>
        </w:rPr>
      </w:pPr>
    </w:p>
    <w:p w:rsidR="00E97E40" w:rsidRPr="00E97E40" w:rsidRDefault="00E97E40" w:rsidP="00E97E40">
      <w:pPr>
        <w:tabs>
          <w:tab w:val="left" w:pos="4253"/>
        </w:tabs>
        <w:jc w:val="center"/>
        <w:rPr>
          <w:rFonts w:cs="Times New Roman"/>
          <w:b/>
          <w:color w:val="000000"/>
        </w:rPr>
      </w:pPr>
      <w:r w:rsidRPr="00E97E40">
        <w:rPr>
          <w:rFonts w:cs="Times New Roman"/>
          <w:b/>
          <w:color w:val="000000"/>
        </w:rPr>
        <w:t>Relazione tecnica</w:t>
      </w:r>
    </w:p>
    <w:p w:rsidR="00E97E40" w:rsidRPr="00DD608B" w:rsidRDefault="00E97E40" w:rsidP="00E97E40">
      <w:pPr>
        <w:tabs>
          <w:tab w:val="left" w:pos="4253"/>
        </w:tabs>
        <w:rPr>
          <w:rFonts w:cs="Times New Roman"/>
          <w:color w:val="000000"/>
        </w:rPr>
      </w:pPr>
      <w:r w:rsidRPr="00DD608B">
        <w:rPr>
          <w:rFonts w:cs="Times New Roman"/>
          <w:color w:val="000000"/>
        </w:rPr>
        <w:t xml:space="preserve">L’articolo in esame reca disposizioni in materia di semplificazione degli adempimenti per la gestione degli enti appartenenti al c.d. Terzo settore al fine di rispondere con urgenza ad alcune esigenze di accelerazione e snellimento di procedure di raccordo normativo per superare criticità emerse in fase di applicazione della </w:t>
      </w:r>
      <w:r w:rsidRPr="00DD608B">
        <w:rPr>
          <w:rFonts w:cs="Times New Roman"/>
        </w:rPr>
        <w:t xml:space="preserve">recente </w:t>
      </w:r>
      <w:r w:rsidRPr="00DD608B">
        <w:rPr>
          <w:rFonts w:cs="Times New Roman"/>
          <w:color w:val="000000"/>
        </w:rPr>
        <w:t>legge n. 3 del 2019, recante “</w:t>
      </w:r>
      <w:r w:rsidRPr="00DD608B">
        <w:rPr>
          <w:rFonts w:cs="Times New Roman"/>
          <w:i/>
        </w:rPr>
        <w:t>Misure per il contrasto dei reati contro la pubblica amministrazione, nonché in materia di prescrizione del reato e in materia di trasparenza dei partiti e movimenti politici</w:t>
      </w:r>
      <w:r w:rsidRPr="00DD608B">
        <w:rPr>
          <w:rFonts w:cs="Times New Roman"/>
          <w:color w:val="000000"/>
        </w:rPr>
        <w:t xml:space="preserve">” con la disciplina vigente in materia. </w:t>
      </w:r>
    </w:p>
    <w:p w:rsidR="00E97E40" w:rsidRPr="00DD608B" w:rsidRDefault="00E97E40" w:rsidP="00E97E40">
      <w:pPr>
        <w:tabs>
          <w:tab w:val="left" w:pos="4253"/>
        </w:tabs>
        <w:rPr>
          <w:rFonts w:cs="Times New Roman"/>
          <w:color w:val="000000"/>
        </w:rPr>
      </w:pPr>
      <w:r w:rsidRPr="00DD608B">
        <w:rPr>
          <w:rFonts w:cs="Times New Roman"/>
        </w:rPr>
        <w:t xml:space="preserve">Nello specifico occorre modificare ed integrare alcune disposizioni contenute nel decreto-legge 28 dicembre 2013, n. 149, convertito, con modificazioni, nella legge 21 febbraio 2014, n. 13 e nella citata legge 9 gennaio 2019, n. 3, al fine di </w:t>
      </w:r>
      <w:r w:rsidRPr="00DD608B">
        <w:rPr>
          <w:rFonts w:cs="Times New Roman"/>
          <w:color w:val="000000"/>
        </w:rPr>
        <w:t>evitare, in particolare agli enti del terzo settore e alle realtà associative di minori dimensioni e meno strutturate, di dover incorrere in oneri di carattere organizzativo,  gestionali e di rendicontazione non sostenibili nell’immediato.</w:t>
      </w:r>
    </w:p>
    <w:p w:rsidR="00E97E40" w:rsidRPr="00DD608B" w:rsidRDefault="00E97E40" w:rsidP="00E97E40">
      <w:pPr>
        <w:tabs>
          <w:tab w:val="left" w:pos="4253"/>
        </w:tabs>
        <w:contextualSpacing/>
        <w:rPr>
          <w:rFonts w:cs="Times New Roman"/>
          <w:i/>
        </w:rPr>
      </w:pPr>
      <w:r w:rsidRPr="00DD608B">
        <w:rPr>
          <w:rFonts w:cs="Times New Roman"/>
          <w:i/>
        </w:rPr>
        <w:t>In premessa, si segnalano gli effetti di neutralità per il bilancio dello Stato recati dall’articolo di seguito esaminato, trattandosi di modifiche normative volte a dare luogo ad interventi di carattere ordinamentale e procedurale.</w:t>
      </w:r>
    </w:p>
    <w:p w:rsidR="00E97E40" w:rsidRPr="00DD608B" w:rsidRDefault="00E97E40" w:rsidP="00E97E40">
      <w:pPr>
        <w:tabs>
          <w:tab w:val="left" w:pos="4253"/>
        </w:tabs>
        <w:rPr>
          <w:rFonts w:cs="Times New Roman"/>
          <w:color w:val="000000"/>
        </w:rPr>
      </w:pPr>
      <w:r w:rsidRPr="00DD608B">
        <w:rPr>
          <w:rFonts w:cs="Times New Roman"/>
          <w:color w:val="000000"/>
        </w:rPr>
        <w:t>Il comma 1 della disposizione in esame introduce modifiche al decreto-legge 28 dicembre 2013, n. 149, convertito, con modificazioni, dalla legge 21 febbraio 2014, n. 13, recante “</w:t>
      </w:r>
      <w:r w:rsidRPr="00DD608B">
        <w:rPr>
          <w:rFonts w:cs="Times New Roman"/>
          <w:bCs/>
          <w:i/>
        </w:rPr>
        <w:t>Abolizione del finanziamento pubblico diretto, disposizioni per la trasparenza e la democraticità dei partiti e disciplina della contribuzione volontaria e della contribuzione indiretta in loro favore</w:t>
      </w:r>
      <w:r w:rsidRPr="00DD608B">
        <w:rPr>
          <w:rFonts w:cs="Times New Roman"/>
          <w:color w:val="000000"/>
        </w:rPr>
        <w:t>”.</w:t>
      </w:r>
    </w:p>
    <w:p w:rsidR="00E97E40" w:rsidRPr="00DD608B" w:rsidRDefault="00E97E40" w:rsidP="00E97E40">
      <w:pPr>
        <w:tabs>
          <w:tab w:val="left" w:pos="4253"/>
        </w:tabs>
        <w:rPr>
          <w:rFonts w:cs="Times New Roman"/>
          <w:color w:val="000000"/>
        </w:rPr>
      </w:pPr>
      <w:r w:rsidRPr="00DD608B">
        <w:rPr>
          <w:rFonts w:cs="Times New Roman"/>
          <w:color w:val="000000"/>
        </w:rPr>
        <w:t>In particolare, con due interventi sul comma 3 dell’articolo 5 del citato D.L., si propone di agevolare il controllo sulle contribuzioni progressive di importo pari o inferiore a euro 500 e la relativa contabilizzazione, e si stabilisce che la pubblicazione dell’elenco dei soggetti che hanno erogato i finanziamenti o i contributi con i relativi importi avvenga in maniera facilmente accessibile nel sito internet ufficiale del Parlamento italiano.</w:t>
      </w:r>
    </w:p>
    <w:p w:rsidR="00E97E40" w:rsidRPr="00DD608B" w:rsidRDefault="00E97E40" w:rsidP="00E97E40">
      <w:pPr>
        <w:tabs>
          <w:tab w:val="left" w:pos="4253"/>
        </w:tabs>
        <w:rPr>
          <w:rFonts w:cs="Times New Roman"/>
          <w:color w:val="000000"/>
        </w:rPr>
      </w:pPr>
      <w:r w:rsidRPr="00DD608B">
        <w:rPr>
          <w:rFonts w:cs="Times New Roman"/>
          <w:color w:val="000000"/>
        </w:rPr>
        <w:t xml:space="preserve">Si segnala, inoltre, la riformulazione del comma 4 dell’articolo 5 del citato decreto legge 149 del 2013, necessaria per precisare l’effettiva estensione della disciplina della pubblicità e della trasparenza propria dei partiti e dei movimenti politici, ad associazioni, fondazioni e comitati che evidenzino specifiche forme di collegamento con i soggetti politici o l’attività dei quali si coordini, comunque, con l’attività dei suddetti partiti e movimenti anche conformemente alle previsioni contenute nei rispettivi statuti o atti costitutivi.  </w:t>
      </w:r>
    </w:p>
    <w:p w:rsidR="00E97E40" w:rsidRPr="00DD608B" w:rsidRDefault="00E97E40" w:rsidP="00E97E40">
      <w:pPr>
        <w:tabs>
          <w:tab w:val="left" w:pos="4253"/>
        </w:tabs>
        <w:rPr>
          <w:rFonts w:cs="Times New Roman"/>
          <w:color w:val="000000"/>
        </w:rPr>
      </w:pPr>
      <w:r w:rsidRPr="00DD608B">
        <w:rPr>
          <w:rFonts w:cs="Times New Roman"/>
          <w:color w:val="000000"/>
        </w:rPr>
        <w:t xml:space="preserve">Va evidenziato, da ultimo, che con l’introduzione del comma 4 </w:t>
      </w:r>
      <w:r w:rsidRPr="00DD608B">
        <w:rPr>
          <w:rFonts w:cs="Times New Roman"/>
          <w:i/>
          <w:color w:val="000000"/>
        </w:rPr>
        <w:t xml:space="preserve">bis </w:t>
      </w:r>
      <w:r w:rsidRPr="00DD608B">
        <w:rPr>
          <w:rFonts w:cs="Times New Roman"/>
          <w:color w:val="000000"/>
        </w:rPr>
        <w:t xml:space="preserve">si interviene nella materia in questione al fine di sottrarre all’equiparazione ai partiti e ai movimenti politici ai sensi e per gli effetti dell’articolo 5 del decreto-legge 28 dicembre 2013, n. 149, gli enti del Terzo settore iscritti nel Registro unico nazionale di cui all’articolo 45 del decreto legislativo 3 luglio 2017, n. 117, nonché tutte quelle fondazioni, associazioni e comitati appartenenti a confessioni religiose con le quali lo Stato ha stipulato patti, accordi o intese. </w:t>
      </w:r>
    </w:p>
    <w:p w:rsidR="00E97E40" w:rsidRPr="00DD608B" w:rsidRDefault="00E97E40" w:rsidP="00E97E40">
      <w:pPr>
        <w:tabs>
          <w:tab w:val="left" w:pos="4253"/>
        </w:tabs>
        <w:rPr>
          <w:rFonts w:cs="Times New Roman"/>
          <w:color w:val="000000"/>
        </w:rPr>
      </w:pPr>
      <w:r w:rsidRPr="00DD608B">
        <w:rPr>
          <w:rFonts w:cs="Times New Roman"/>
          <w:color w:val="000000"/>
        </w:rPr>
        <w:t>Tale previsione trova la sua ratio nelle specifica vocazione solidaristica degli enti sopramenzionati tenuto conto anche che gli stessi enti sono comunque assoggettati agli obblighi di pubblicità, trasparenza e rendicontazione previsti dal decreto legislativo 3 luglio 2017, n. 117.</w:t>
      </w:r>
    </w:p>
    <w:p w:rsidR="00E97E40" w:rsidRDefault="00E97E40" w:rsidP="00E97E40">
      <w:pPr>
        <w:tabs>
          <w:tab w:val="left" w:pos="4253"/>
        </w:tabs>
        <w:rPr>
          <w:rFonts w:cs="Times New Roman"/>
        </w:rPr>
      </w:pPr>
      <w:r w:rsidRPr="00DD608B">
        <w:rPr>
          <w:rFonts w:cs="Times New Roman"/>
          <w:color w:val="000000"/>
        </w:rPr>
        <w:t>Con i</w:t>
      </w:r>
      <w:r w:rsidRPr="00DD608B">
        <w:rPr>
          <w:rFonts w:cs="Times New Roman"/>
        </w:rPr>
        <w:t>l comma 2 del presente articolo, si prevede che fino all’operatività del Registro</w:t>
      </w:r>
      <w:r w:rsidRPr="00DD608B">
        <w:rPr>
          <w:rFonts w:cs="Times New Roman"/>
          <w:b/>
          <w:bCs/>
        </w:rPr>
        <w:t xml:space="preserve"> </w:t>
      </w:r>
      <w:r w:rsidRPr="00DD608B">
        <w:rPr>
          <w:rFonts w:cs="Times New Roman"/>
          <w:bCs/>
        </w:rPr>
        <w:t>unico nazionale del Terzo settore,</w:t>
      </w:r>
      <w:r w:rsidRPr="00DD608B">
        <w:rPr>
          <w:rFonts w:cs="Times New Roman"/>
          <w:b/>
          <w:bCs/>
        </w:rPr>
        <w:t xml:space="preserve"> </w:t>
      </w:r>
      <w:r w:rsidRPr="00DD608B">
        <w:rPr>
          <w:rFonts w:cs="Times New Roman"/>
        </w:rPr>
        <w:t>previsto dall’articolo 45 del decreto legislativo n. 117 del 2017, il requisito dell’iscrizione nel predetto registro s’intende soddisfatto con l’iscrizione in uno dei registri previsti dalle normative di settore, ai sensi dell’articolo 101, comma 3, del decreto legislativo 3 luglio 2017, n. 117.</w:t>
      </w:r>
    </w:p>
    <w:p w:rsidR="00E97E40" w:rsidRPr="00DD608B" w:rsidRDefault="00E97E40" w:rsidP="00E97E40">
      <w:pPr>
        <w:tabs>
          <w:tab w:val="left" w:pos="4253"/>
        </w:tabs>
        <w:rPr>
          <w:rFonts w:cs="Times New Roman"/>
          <w:color w:val="000000"/>
        </w:rPr>
      </w:pPr>
      <w:r w:rsidRPr="00DD608B">
        <w:rPr>
          <w:rFonts w:cs="Times New Roman"/>
          <w:color w:val="000000"/>
        </w:rPr>
        <w:t xml:space="preserve">Con il comma 3 dell’articolo </w:t>
      </w:r>
      <w:r w:rsidRPr="00DD608B">
        <w:rPr>
          <w:rFonts w:cs="Times New Roman"/>
          <w:i/>
          <w:color w:val="000000"/>
        </w:rPr>
        <w:t>“de quo”</w:t>
      </w:r>
      <w:r w:rsidRPr="00DD608B">
        <w:rPr>
          <w:rFonts w:cs="Times New Roman"/>
          <w:color w:val="000000"/>
        </w:rPr>
        <w:t xml:space="preserve"> si interviene sulla legge n. 3 del 2019. In particolare con le modifiche al comma 11 dell’articolo 1 della sopraindicata legge si interviene al fine di agevolare il controllo sulle elargizioni progressive di importo inferiore o uguale a euro 500 e la relativa contabilizzazione.</w:t>
      </w:r>
    </w:p>
    <w:p w:rsidR="00E97E40" w:rsidRPr="00DD608B" w:rsidRDefault="00E97E40" w:rsidP="00E97E40">
      <w:pPr>
        <w:tabs>
          <w:tab w:val="left" w:pos="4253"/>
        </w:tabs>
        <w:rPr>
          <w:rFonts w:cs="Times New Roman"/>
          <w:color w:val="000000"/>
        </w:rPr>
      </w:pPr>
      <w:r w:rsidRPr="00DD608B">
        <w:rPr>
          <w:rFonts w:cs="Times New Roman"/>
          <w:color w:val="000000"/>
        </w:rPr>
        <w:t xml:space="preserve">Ulteriori interventi sono sul comma 21 dell’articolo 1 citato ed attengono al divieto di ricevere contributi, prestazioni o altre forme di sostegno provenienti da governi o enti pubblici di Stati esteri e da persone giuridiche aventi sede in uno Stato estero non assoggettate a obblighi fiscali in Italia. </w:t>
      </w:r>
    </w:p>
    <w:p w:rsidR="00E97E40" w:rsidRPr="00DD608B" w:rsidRDefault="00E97E40" w:rsidP="00E97E40">
      <w:pPr>
        <w:tabs>
          <w:tab w:val="left" w:pos="4253"/>
        </w:tabs>
        <w:rPr>
          <w:rFonts w:cs="Times New Roman"/>
          <w:color w:val="000000"/>
        </w:rPr>
      </w:pPr>
      <w:r w:rsidRPr="00DD608B">
        <w:rPr>
          <w:rFonts w:cs="Times New Roman"/>
          <w:color w:val="000000"/>
        </w:rPr>
        <w:t>Al partito o al movimento politico che viola i divieti di cui ai commi 11, secondo periodo, e 12, primo periodo, del presente articolo la Commissione per la trasparenza e il controllo dei rendiconti dei partiti e dei movimenti politici, di cui all’articolo 9, comma 3, della legge 6 luglio 2012, n. 96, applica la sanzione amministrativa pecuniaria di importo non inferiore al triplo e non superiore al quintuplo del valore dei contributi, delle prestazioni o delle altre forme di sostegno a carattere patrimoniale ricevuti: circostanza che si verificherà qualora entro tre mesi dal ricevimento il partito o movimento politico in esame non abbia provveduto al versamento del corrispondente importo alla cassa delle ammende in conformità al comma 13. Stessa sorte è stata prevista anche per i partiti o movimenti politici che  in violazione del divieto di cui al comma 12, secondo periodo, entro tre mesi dalla piena conoscenza delle condizioni ostative stabilite in tale disposizione, non provvedano a versare il corrispondente degli importi ricevuti alla cassa delle ammende, sempre in conformità a quanto stabilito al citato comma 13.</w:t>
      </w:r>
    </w:p>
    <w:p w:rsidR="00E97E40" w:rsidRPr="00DD608B" w:rsidRDefault="00E97E40" w:rsidP="00E97E40">
      <w:pPr>
        <w:tabs>
          <w:tab w:val="left" w:pos="4253"/>
        </w:tabs>
        <w:rPr>
          <w:rFonts w:cs="Times New Roman"/>
          <w:color w:val="000000"/>
        </w:rPr>
      </w:pPr>
      <w:r w:rsidRPr="00DD608B">
        <w:rPr>
          <w:rFonts w:cs="Times New Roman"/>
          <w:color w:val="000000"/>
        </w:rPr>
        <w:t>Si segnalano, poi, le modifiche al comma 28 dell’articolo 1 della citata legge consistenti in disposizioni in favore di associazioni, fondazioni e comitati che realizzano il necessario coordinamento rispetto alla sottrazione degli enti sopra menzionati dall’applicazione dell’articolo 5 del decreto-legge n. 149 del 2013, nelle ipotesi di cui al comma 4, lettera b), dello stesso articolo 5.</w:t>
      </w:r>
    </w:p>
    <w:p w:rsidR="00E97E40" w:rsidRPr="00DD608B" w:rsidRDefault="00E97E40" w:rsidP="00E97E40">
      <w:pPr>
        <w:tabs>
          <w:tab w:val="left" w:pos="4253"/>
        </w:tabs>
        <w:rPr>
          <w:rFonts w:cs="Times New Roman"/>
          <w:bCs/>
          <w:color w:val="000000"/>
        </w:rPr>
      </w:pPr>
      <w:r w:rsidRPr="00DD608B">
        <w:rPr>
          <w:rFonts w:cs="Times New Roman"/>
          <w:color w:val="000000"/>
        </w:rPr>
        <w:t>All’articolo 1 della legge 19 gennaio 2019, n. 3, dopo il comma 28, è aggiunto il comma 28-</w:t>
      </w:r>
      <w:r w:rsidRPr="00DD608B">
        <w:rPr>
          <w:rFonts w:cs="Times New Roman"/>
          <w:i/>
          <w:color w:val="000000"/>
        </w:rPr>
        <w:t>bis</w:t>
      </w:r>
      <w:r w:rsidRPr="00DD608B">
        <w:rPr>
          <w:rFonts w:cs="Times New Roman"/>
          <w:color w:val="000000"/>
        </w:rPr>
        <w:t>, che introduce una serie di deroghe nei confronti delle fondazioni, delle associazioni dei comitati, esonerandoli da una serie di scadenze ed adempimenti</w:t>
      </w:r>
      <w:r w:rsidRPr="00DD608B">
        <w:rPr>
          <w:rFonts w:cs="Times New Roman"/>
          <w:bCs/>
          <w:color w:val="000000"/>
        </w:rPr>
        <w:t xml:space="preserve"> soggetti rispetto ai quali non rilevano le esigenze di tempestivo adempimento degli obblighi di trasparenza connessi anche alle scadenze elettorali e ai quali non si applica neanche, come già sopra detto, il regime sanzionatorio previsto dal primo periodo del comma 12 dell’articolo 1 della legge in esame né quello del secondo periodo dello stesso comma 12, qualora le elargizioni siano disposte da persone fisiche maggiorenni straniere.</w:t>
      </w:r>
    </w:p>
    <w:p w:rsidR="00E97E40" w:rsidRPr="00DD608B" w:rsidRDefault="00E97E40" w:rsidP="00E97E40">
      <w:pPr>
        <w:tabs>
          <w:tab w:val="left" w:pos="4253"/>
        </w:tabs>
        <w:rPr>
          <w:rFonts w:cs="Times New Roman"/>
        </w:rPr>
      </w:pPr>
      <w:r w:rsidRPr="00DD608B">
        <w:rPr>
          <w:rFonts w:cs="Times New Roman"/>
        </w:rPr>
        <w:t>Con il comma 4 del presente articolo si stabilisce che il termine di cui al comma 28-</w:t>
      </w:r>
      <w:r w:rsidRPr="00DD608B">
        <w:rPr>
          <w:rFonts w:cs="Times New Roman"/>
          <w:i/>
        </w:rPr>
        <w:t>bis</w:t>
      </w:r>
      <w:r w:rsidRPr="00DD608B">
        <w:rPr>
          <w:rFonts w:cs="Times New Roman"/>
        </w:rPr>
        <w:t>, primo periodo, della legge 19 gennaio 2019, n. 3, si applica agli adempimenti relativi ad elargizioni, finanziamenti e contributi ricevuti a partire dall’entrata in vigore della medesima legge.</w:t>
      </w:r>
    </w:p>
    <w:p w:rsidR="00E97E40" w:rsidRPr="00DD608B" w:rsidRDefault="00E97E40" w:rsidP="00E97E40">
      <w:pPr>
        <w:tabs>
          <w:tab w:val="left" w:pos="4253"/>
        </w:tabs>
        <w:rPr>
          <w:rFonts w:cs="Times New Roman"/>
          <w:color w:val="000000"/>
        </w:rPr>
      </w:pPr>
      <w:r w:rsidRPr="00DD608B">
        <w:rPr>
          <w:rFonts w:cs="Times New Roman"/>
          <w:color w:val="000000"/>
        </w:rPr>
        <w:t xml:space="preserve">  </w:t>
      </w:r>
      <w:r w:rsidRPr="00DD608B">
        <w:rPr>
          <w:rFonts w:cs="Times New Roman"/>
          <w:i/>
          <w:color w:val="000000"/>
        </w:rPr>
        <w:t>C</w:t>
      </w:r>
      <w:r w:rsidRPr="00DD608B">
        <w:rPr>
          <w:rFonts w:cs="Times New Roman"/>
          <w:i/>
        </w:rPr>
        <w:t xml:space="preserve">onsiderata la natura interpretativa e di coordinamento tra norme cui sono dirette le modifiche in esame si rappresentano al riguardo gli effetti di invarianza sulla finanza pubblica, mentre si ribadisce la conservazione dell’applicabilità del regime sanzionatorio di cui al comma 21 dell’articolo 1 della legge 3/2019, suscettibile di comportare entrate, di difficile quantificazione, da destinare alla Cassa delle Ammende per le finalità istituzionali. </w:t>
      </w:r>
    </w:p>
    <w:p w:rsidR="00E97E40" w:rsidRPr="00DD608B" w:rsidRDefault="00E97E40" w:rsidP="00E97E40">
      <w:pPr>
        <w:tabs>
          <w:tab w:val="left" w:pos="4253"/>
        </w:tabs>
        <w:autoSpaceDE w:val="0"/>
        <w:autoSpaceDN w:val="0"/>
        <w:adjustRightInd w:val="0"/>
        <w:contextualSpacing/>
        <w:rPr>
          <w:rFonts w:cs="Times New Roman"/>
        </w:rPr>
      </w:pPr>
      <w:r w:rsidRPr="00DD608B">
        <w:rPr>
          <w:rFonts w:cs="Times New Roman"/>
          <w:i/>
        </w:rPr>
        <w:t>In considerazione delle modifiche e del contenuto delle innovazioni introdotte, si ribadisce, pertanto, che riguardo alla disposizione dell’articolo unico in esame non sussistono profili di carattere finanziario suscettibili di incidere negativamente sulla finanza pubblica, significando che le eventuali attività conseguenziali alle modifiche normative apportate, potranno essere sostenute avvalendosi delle risorse umane, strumentali e finanziarie disponibili a legislazione vigente.</w:t>
      </w:r>
    </w:p>
    <w:p w:rsidR="00E97E40" w:rsidRPr="00DD608B" w:rsidRDefault="00E97E40" w:rsidP="00E97E40">
      <w:pPr>
        <w:tabs>
          <w:tab w:val="left" w:pos="4253"/>
        </w:tabs>
        <w:rPr>
          <w:rFonts w:cs="Times New Roman"/>
        </w:rPr>
      </w:pPr>
    </w:p>
    <w:p w:rsidR="009A2C24" w:rsidRDefault="009A2C24" w:rsidP="009A2C24">
      <w:pPr>
        <w:pStyle w:val="Titolo2"/>
        <w:rPr>
          <w:rFonts w:ascii="Calibri" w:hAnsi="Calibri"/>
          <w:color w:val="000000"/>
        </w:rPr>
      </w:pPr>
      <w:bookmarkStart w:id="81" w:name="_Toc6937375"/>
      <w:r w:rsidRPr="00E62064">
        <w:t xml:space="preserve">Articolo </w:t>
      </w:r>
      <w:r>
        <w:t>44</w:t>
      </w:r>
      <w:r>
        <w:br/>
        <w:t>(Semplificazione ed efficientamento dei processi di programmazione, vigilanza ed attuazione degli interventi finanziati dal Fondo per lo sviluppo e la coesione</w:t>
      </w:r>
      <w:r>
        <w:rPr>
          <w:rFonts w:ascii="Calibri" w:hAnsi="Calibri"/>
          <w:color w:val="000000"/>
        </w:rPr>
        <w:t>)</w:t>
      </w:r>
      <w:bookmarkEnd w:id="81"/>
    </w:p>
    <w:p w:rsidR="003654ED" w:rsidRPr="003654ED" w:rsidRDefault="003654ED" w:rsidP="00826FD7">
      <w:pPr>
        <w:pStyle w:val="Paragrafoelenco"/>
        <w:numPr>
          <w:ilvl w:val="0"/>
          <w:numId w:val="35"/>
        </w:numPr>
        <w:spacing w:after="0" w:line="240" w:lineRule="auto"/>
        <w:ind w:left="284" w:hanging="284"/>
        <w:rPr>
          <w:rFonts w:ascii="Times New Roman" w:hAnsi="Times New Roman"/>
          <w:szCs w:val="24"/>
          <w:lang w:val="it-IT"/>
        </w:rPr>
      </w:pPr>
      <w:r w:rsidRPr="003654ED">
        <w:rPr>
          <w:rFonts w:ascii="Times New Roman" w:hAnsi="Times New Roman"/>
          <w:szCs w:val="24"/>
          <w:lang w:val="it-IT"/>
        </w:rPr>
        <w:t>Al fine di migliorare il coordinamento unitario e la qualità degli interventi infrastrutturali finanziati con le risorse nazionali destinate alle politiche di coesione dei cicli di programmazione 2000/2006</w:t>
      </w:r>
      <w:r w:rsidRPr="003654ED">
        <w:rPr>
          <w:rFonts w:ascii="Times New Roman" w:hAnsi="Times New Roman"/>
          <w:b/>
          <w:szCs w:val="24"/>
          <w:lang w:val="it-IT"/>
        </w:rPr>
        <w:t>,</w:t>
      </w:r>
      <w:r w:rsidRPr="003654ED">
        <w:rPr>
          <w:rFonts w:ascii="Times New Roman" w:hAnsi="Times New Roman"/>
          <w:szCs w:val="24"/>
          <w:lang w:val="it-IT"/>
        </w:rPr>
        <w:t xml:space="preserve"> 2007/2013 e 2014/2020, nonché di accelerarne la spesa, per ciascuna Amministrazione Centrale, Regione o Città metropolitana titolare di risorse a valere del Fondo per lo sviluppo e coesione di cui all’articolo 4, del decreto legislativo 31 maggio 2011, n. 88 in sostituzione della pluralità degli attuali documenti programmatori variamente denominati e tenendo conto degli interventi ivi inclusi, l’Agenzia per la coesione territoriale procede ad una riclassificazione di tali strumenti al fine di sottoporre all’approvazione del CIPE, su proposta del Ministro per il Sud, Autorità delegata per la coesione</w:t>
      </w:r>
      <w:r w:rsidRPr="003654ED">
        <w:rPr>
          <w:rFonts w:ascii="Times New Roman" w:hAnsi="Times New Roman"/>
          <w:szCs w:val="24"/>
          <w:u w:val="single"/>
          <w:lang w:val="it-IT"/>
        </w:rPr>
        <w:t>,</w:t>
      </w:r>
      <w:r w:rsidRPr="003654ED">
        <w:rPr>
          <w:rFonts w:ascii="Times New Roman" w:hAnsi="Times New Roman"/>
          <w:szCs w:val="24"/>
          <w:lang w:val="it-IT"/>
        </w:rPr>
        <w:t xml:space="preserve"> entro quattro mesi dall’entrata in vigore della presente disposizione, un unico Piano operativo denominato “Piano sviluppo e coesione”, con modalità unitarie di gestione e monitoraggio.</w:t>
      </w:r>
    </w:p>
    <w:p w:rsidR="003654ED" w:rsidRPr="003654ED" w:rsidRDefault="003654ED" w:rsidP="00826FD7">
      <w:pPr>
        <w:pStyle w:val="Paragrafoelenco"/>
        <w:numPr>
          <w:ilvl w:val="0"/>
          <w:numId w:val="35"/>
        </w:numPr>
        <w:spacing w:after="0" w:line="240" w:lineRule="auto"/>
        <w:ind w:left="284" w:hanging="284"/>
        <w:rPr>
          <w:rFonts w:ascii="Times New Roman" w:hAnsi="Times New Roman"/>
          <w:szCs w:val="24"/>
          <w:lang w:val="it-IT"/>
        </w:rPr>
      </w:pPr>
      <w:r w:rsidRPr="003654ED">
        <w:rPr>
          <w:rFonts w:ascii="Times New Roman" w:hAnsi="Times New Roman"/>
          <w:szCs w:val="24"/>
          <w:lang w:val="it-IT"/>
        </w:rPr>
        <w:t xml:space="preserve">Al fine di rafforzare il carattere unitario delle politiche di coesione e della relativa programmazione e di valorizzarne la simmetria con i Programmi Operativi Europei, ciascun Piano è articolato per aree tematiche, in analogia agli obiettivi tematici dell’Accordo di Partenariato, con conseguente trasferimento delle funzioni attribuite ai rispettivi strumenti di </w:t>
      </w:r>
      <w:r w:rsidRPr="003654ED">
        <w:rPr>
          <w:rFonts w:ascii="Times New Roman" w:hAnsi="Times New Roman"/>
          <w:i/>
          <w:szCs w:val="24"/>
          <w:lang w:val="it-IT"/>
        </w:rPr>
        <w:t>governance</w:t>
      </w:r>
      <w:r w:rsidRPr="003654ED">
        <w:rPr>
          <w:rFonts w:ascii="Times New Roman" w:hAnsi="Times New Roman"/>
          <w:szCs w:val="24"/>
          <w:lang w:val="it-IT"/>
        </w:rPr>
        <w:t xml:space="preserve">, istituiti con delibere del CIPE o comunque previsti dai documenti di programmazione oggetto di riclassificazione, ad appositi Comitati di Sorveglianza, costituiti dalle Amministrazioni titolari dei Piani operativi, ai quali partecipano rappresentanti del Dipartimento per le politiche di coesione, dell’Agenzia per la coesione territoriale, del Dipartimento per la programmazione e il coordinamento della politica economica e dei Ministeri competenti per area tematica, nonché del partenariato economico e sociale, relativamente agli ambiti di cui alle lettere d) ed e) del comma 3. Per la partecipazione ai Comitati di Sorveglianza non sono dovuti gettoni di presenza, compensi, rimborsi spese o altri emolumenti comunque denominati. </w:t>
      </w:r>
    </w:p>
    <w:p w:rsidR="003654ED" w:rsidRPr="003654ED" w:rsidRDefault="003654ED" w:rsidP="00826FD7">
      <w:pPr>
        <w:pStyle w:val="Paragrafoelenco"/>
        <w:numPr>
          <w:ilvl w:val="0"/>
          <w:numId w:val="35"/>
        </w:numPr>
        <w:spacing w:after="0" w:line="240" w:lineRule="auto"/>
        <w:ind w:left="284" w:hanging="284"/>
        <w:rPr>
          <w:rFonts w:ascii="Times New Roman" w:hAnsi="Times New Roman"/>
          <w:szCs w:val="24"/>
          <w:lang w:val="it-IT"/>
        </w:rPr>
      </w:pPr>
      <w:r w:rsidRPr="003654ED">
        <w:rPr>
          <w:rFonts w:ascii="Times New Roman" w:hAnsi="Times New Roman"/>
          <w:szCs w:val="24"/>
          <w:lang w:val="it-IT"/>
        </w:rPr>
        <w:t>I Comitati di sorveglianza di cui al comma 2, ferme restando le competenze specifiche normativamente attribuite alle Amministrazioni centrali e alle Agenzie nazionali:</w:t>
      </w:r>
    </w:p>
    <w:p w:rsidR="003654ED" w:rsidRPr="003654ED" w:rsidRDefault="003654ED" w:rsidP="00826FD7">
      <w:pPr>
        <w:pStyle w:val="Paragrafoelenco"/>
        <w:numPr>
          <w:ilvl w:val="0"/>
          <w:numId w:val="36"/>
        </w:numPr>
        <w:spacing w:after="0" w:line="240" w:lineRule="auto"/>
        <w:ind w:left="567" w:hanging="284"/>
        <w:rPr>
          <w:rFonts w:ascii="Times New Roman" w:hAnsi="Times New Roman"/>
          <w:szCs w:val="24"/>
          <w:lang w:val="it-IT"/>
        </w:rPr>
      </w:pPr>
      <w:r w:rsidRPr="003654ED">
        <w:rPr>
          <w:rFonts w:ascii="Times New Roman" w:hAnsi="Times New Roman"/>
          <w:szCs w:val="24"/>
          <w:lang w:val="it-IT"/>
        </w:rPr>
        <w:t>approvano la metodologia e i criteri usati per la selezione delle operazioni;</w:t>
      </w:r>
    </w:p>
    <w:p w:rsidR="003654ED" w:rsidRPr="003654ED" w:rsidRDefault="003654ED" w:rsidP="00826FD7">
      <w:pPr>
        <w:pStyle w:val="Paragrafoelenco"/>
        <w:numPr>
          <w:ilvl w:val="0"/>
          <w:numId w:val="36"/>
        </w:numPr>
        <w:spacing w:after="0" w:line="240" w:lineRule="auto"/>
        <w:ind w:left="567" w:hanging="284"/>
        <w:rPr>
          <w:rFonts w:ascii="Times New Roman" w:hAnsi="Times New Roman"/>
          <w:szCs w:val="24"/>
          <w:lang w:val="it-IT"/>
        </w:rPr>
      </w:pPr>
      <w:r w:rsidRPr="003654ED">
        <w:rPr>
          <w:rFonts w:ascii="Times New Roman" w:hAnsi="Times New Roman"/>
          <w:szCs w:val="24"/>
          <w:lang w:val="it-IT"/>
        </w:rPr>
        <w:t>approvano le relazioni di attuazione annuali e finali;</w:t>
      </w:r>
    </w:p>
    <w:p w:rsidR="003654ED" w:rsidRPr="003654ED" w:rsidRDefault="003654ED" w:rsidP="00826FD7">
      <w:pPr>
        <w:pStyle w:val="Paragrafoelenco"/>
        <w:numPr>
          <w:ilvl w:val="0"/>
          <w:numId w:val="36"/>
        </w:numPr>
        <w:spacing w:after="0" w:line="240" w:lineRule="auto"/>
        <w:ind w:left="567" w:hanging="284"/>
        <w:rPr>
          <w:rFonts w:ascii="Times New Roman" w:hAnsi="Times New Roman"/>
          <w:szCs w:val="24"/>
          <w:lang w:val="it-IT"/>
        </w:rPr>
      </w:pPr>
      <w:r w:rsidRPr="003654ED">
        <w:rPr>
          <w:rFonts w:ascii="Times New Roman" w:hAnsi="Times New Roman"/>
          <w:szCs w:val="24"/>
          <w:lang w:val="it-IT"/>
        </w:rPr>
        <w:t>esaminano eventuali proposte di modifiche al Piano operativo, con facoltà di approvazione delle stesse ai sensi del numero 2, lettera g) della delibera CIPE 10 agosto 2016 n. 25, ovvero esprimendo un parere ai fini della sottoposizione delle modifiche stesse al CIPE;</w:t>
      </w:r>
    </w:p>
    <w:p w:rsidR="003654ED" w:rsidRPr="003654ED" w:rsidRDefault="003654ED" w:rsidP="00826FD7">
      <w:pPr>
        <w:pStyle w:val="Paragrafoelenco"/>
        <w:numPr>
          <w:ilvl w:val="0"/>
          <w:numId w:val="36"/>
        </w:numPr>
        <w:spacing w:after="0" w:line="240" w:lineRule="auto"/>
        <w:ind w:left="567" w:hanging="284"/>
        <w:rPr>
          <w:rFonts w:ascii="Times New Roman" w:hAnsi="Times New Roman"/>
          <w:szCs w:val="24"/>
          <w:lang w:val="it-IT"/>
        </w:rPr>
      </w:pPr>
      <w:r w:rsidRPr="003654ED">
        <w:rPr>
          <w:rFonts w:ascii="Times New Roman" w:hAnsi="Times New Roman"/>
          <w:szCs w:val="24"/>
          <w:lang w:val="it-IT"/>
        </w:rPr>
        <w:t>esaminano ogni aspetto che incida sui risultati comprese le verifiche di efficacia dell’attuazione;</w:t>
      </w:r>
    </w:p>
    <w:p w:rsidR="003654ED" w:rsidRPr="003654ED" w:rsidRDefault="003654ED" w:rsidP="00826FD7">
      <w:pPr>
        <w:pStyle w:val="Paragrafoelenco"/>
        <w:numPr>
          <w:ilvl w:val="0"/>
          <w:numId w:val="36"/>
        </w:numPr>
        <w:spacing w:after="0" w:line="240" w:lineRule="auto"/>
        <w:ind w:left="567" w:hanging="284"/>
        <w:rPr>
          <w:rFonts w:ascii="Times New Roman" w:hAnsi="Times New Roman"/>
          <w:szCs w:val="24"/>
          <w:lang w:val="it-IT"/>
        </w:rPr>
      </w:pPr>
      <w:r w:rsidRPr="003654ED">
        <w:rPr>
          <w:rFonts w:ascii="Times New Roman" w:hAnsi="Times New Roman"/>
          <w:szCs w:val="24"/>
          <w:lang w:val="it-IT"/>
        </w:rPr>
        <w:t>esaminano i risultati delle valutazioni.</w:t>
      </w:r>
    </w:p>
    <w:p w:rsidR="003654ED" w:rsidRPr="003654ED" w:rsidRDefault="003654ED" w:rsidP="00826FD7">
      <w:pPr>
        <w:pStyle w:val="Paragrafoelenco"/>
        <w:numPr>
          <w:ilvl w:val="0"/>
          <w:numId w:val="35"/>
        </w:numPr>
        <w:spacing w:after="0" w:line="240" w:lineRule="auto"/>
        <w:ind w:left="284" w:hanging="284"/>
        <w:rPr>
          <w:rFonts w:ascii="Times New Roman" w:hAnsi="Times New Roman"/>
          <w:szCs w:val="24"/>
          <w:lang w:val="it-IT"/>
        </w:rPr>
      </w:pPr>
      <w:r w:rsidRPr="003654ED">
        <w:rPr>
          <w:rFonts w:ascii="Times New Roman" w:hAnsi="Times New Roman"/>
          <w:szCs w:val="24"/>
          <w:lang w:val="it-IT"/>
        </w:rPr>
        <w:t xml:space="preserve">I Comitati di sorveglianza dei programmi attuativi regionali FSC 2007-2013 integrano la propria composizione e disciplina secondo quanto previsto dai precedenti commi 2 e 3. </w:t>
      </w:r>
    </w:p>
    <w:p w:rsidR="003654ED" w:rsidRPr="003654ED" w:rsidRDefault="003654ED" w:rsidP="00826FD7">
      <w:pPr>
        <w:pStyle w:val="Paragrafoelenco"/>
        <w:numPr>
          <w:ilvl w:val="0"/>
          <w:numId w:val="35"/>
        </w:numPr>
        <w:spacing w:after="0" w:line="240" w:lineRule="auto"/>
        <w:ind w:left="284" w:hanging="284"/>
        <w:rPr>
          <w:rFonts w:ascii="Times New Roman" w:hAnsi="Times New Roman"/>
          <w:szCs w:val="24"/>
          <w:lang w:val="it-IT"/>
        </w:rPr>
      </w:pPr>
      <w:r w:rsidRPr="003654ED">
        <w:rPr>
          <w:rFonts w:ascii="Times New Roman" w:hAnsi="Times New Roman"/>
          <w:szCs w:val="24"/>
          <w:lang w:val="it-IT"/>
        </w:rPr>
        <w:t>Le Amministrazioni titolari dei Piani sviluppo e coesione monitorano gli interventi sul proprio sistema gestionale e rendono disponibili, con periodicità bimestrale, i dati di avanzamento finanziario, fisico e procedurale alla Banca dati Unitaria del Ministero dell’Economia e delle Finanze – Dipartimento della Ragioneria Generale dello Stato secondo le disposizioni normative di cui di cui all’art. 1, comma 703, lett. l, legge 23/12/2014, n. 190. Gli interventi, pena esclusione dal finanziamento, sono identificati con il Codice Unico di Progetto (CUP).</w:t>
      </w:r>
    </w:p>
    <w:p w:rsidR="003654ED" w:rsidRPr="003654ED" w:rsidRDefault="003654ED" w:rsidP="00826FD7">
      <w:pPr>
        <w:pStyle w:val="Paragrafoelenco"/>
        <w:numPr>
          <w:ilvl w:val="0"/>
          <w:numId w:val="35"/>
        </w:numPr>
        <w:spacing w:after="0" w:line="240" w:lineRule="auto"/>
        <w:ind w:left="284" w:hanging="284"/>
        <w:rPr>
          <w:rFonts w:ascii="Times New Roman" w:hAnsi="Times New Roman"/>
          <w:szCs w:val="24"/>
          <w:lang w:val="it-IT"/>
        </w:rPr>
      </w:pPr>
      <w:r w:rsidRPr="003654ED">
        <w:rPr>
          <w:rFonts w:ascii="Times New Roman" w:hAnsi="Times New Roman"/>
          <w:szCs w:val="24"/>
          <w:lang w:val="it-IT"/>
        </w:rPr>
        <w:t>Restano in ogni caso ferme le dotazioni finanziarie degli strumenti di programmazione oggetto di riclassificazione, come determinate alla data di entrata in vigore della presente disposizione, gli interventi individuati e il relativo finanziamento, le appostazioni programmatiche ove non declinate in specifici interventi, la titolarità dei programmi o delle assegnazioni deliberate dal CIPE, i soggetti attuatori, ove individuati anche nei documenti attuativi.</w:t>
      </w:r>
    </w:p>
    <w:p w:rsidR="003654ED" w:rsidRPr="003654ED" w:rsidRDefault="003654ED" w:rsidP="00826FD7">
      <w:pPr>
        <w:pStyle w:val="Paragrafoelenco"/>
        <w:numPr>
          <w:ilvl w:val="0"/>
          <w:numId w:val="35"/>
        </w:numPr>
        <w:spacing w:after="0" w:line="240" w:lineRule="auto"/>
        <w:ind w:left="284" w:hanging="284"/>
        <w:rPr>
          <w:rFonts w:ascii="Times New Roman" w:hAnsi="Times New Roman"/>
          <w:szCs w:val="24"/>
          <w:lang w:val="it-IT"/>
        </w:rPr>
      </w:pPr>
      <w:r w:rsidRPr="003654ED">
        <w:rPr>
          <w:rFonts w:ascii="Times New Roman" w:hAnsi="Times New Roman"/>
          <w:szCs w:val="24"/>
          <w:lang w:val="it-IT"/>
        </w:rPr>
        <w:t>In sede di prima approvazione, il Piano sviluppo e coesione di cui al comma 1 può contenere:</w:t>
      </w:r>
    </w:p>
    <w:p w:rsidR="003654ED" w:rsidRPr="003654ED" w:rsidRDefault="003654ED" w:rsidP="00826FD7">
      <w:pPr>
        <w:numPr>
          <w:ilvl w:val="0"/>
          <w:numId w:val="37"/>
        </w:numPr>
        <w:ind w:left="567" w:hanging="284"/>
        <w:contextualSpacing/>
        <w:rPr>
          <w:rFonts w:cs="Times New Roman"/>
          <w:szCs w:val="24"/>
        </w:rPr>
      </w:pPr>
      <w:r w:rsidRPr="003654ED">
        <w:rPr>
          <w:rFonts w:cs="Times New Roman"/>
          <w:szCs w:val="24"/>
        </w:rPr>
        <w:t>gli interventi dotati di progettazione esecutiva o con procedura di aggiudicazione avviata alla data di entrata in vigore della presente disposizione;</w:t>
      </w:r>
    </w:p>
    <w:p w:rsidR="003654ED" w:rsidRPr="003654ED" w:rsidRDefault="003654ED" w:rsidP="00826FD7">
      <w:pPr>
        <w:numPr>
          <w:ilvl w:val="0"/>
          <w:numId w:val="37"/>
        </w:numPr>
        <w:ind w:left="567" w:hanging="284"/>
        <w:contextualSpacing/>
        <w:rPr>
          <w:rFonts w:cs="Times New Roman"/>
          <w:szCs w:val="24"/>
        </w:rPr>
      </w:pPr>
      <w:r w:rsidRPr="003654ED">
        <w:rPr>
          <w:rFonts w:cs="Times New Roman"/>
          <w:szCs w:val="24"/>
        </w:rPr>
        <w:t>gli interventi che, pur non rientrando nella casistica di cui alla lettera a), siano valutati favorevolmente da parte del Dipartimento per le politiche di coesione, dell’Agenzia per la coesione territoriale, sentite le Amministrazioni titolari delle risorse di cui al comma 1, in ragione dello stato di avanzamento della progettazione, dell’effettiva rispondenza e sinergia con le priorità di sviluppo dei territori e con gli obiettivi strategici del nuovo ciclo di programmazione dei fondi europei, nonché della concomitante possibilità di generare obbligazioni giuridicamente vincolanti entro il 31 dicembre 2021.</w:t>
      </w:r>
    </w:p>
    <w:p w:rsidR="003654ED" w:rsidRPr="003654ED" w:rsidRDefault="003654ED" w:rsidP="00826FD7">
      <w:pPr>
        <w:pStyle w:val="Paragrafoelenco"/>
        <w:numPr>
          <w:ilvl w:val="0"/>
          <w:numId w:val="35"/>
        </w:numPr>
        <w:spacing w:after="0" w:line="240" w:lineRule="auto"/>
        <w:ind w:left="284" w:hanging="284"/>
        <w:rPr>
          <w:rFonts w:ascii="Times New Roman" w:hAnsi="Times New Roman"/>
          <w:szCs w:val="24"/>
          <w:lang w:val="it-IT"/>
        </w:rPr>
      </w:pPr>
      <w:r w:rsidRPr="003654ED">
        <w:rPr>
          <w:rFonts w:ascii="Times New Roman" w:hAnsi="Times New Roman"/>
          <w:szCs w:val="24"/>
          <w:lang w:val="it-IT"/>
        </w:rPr>
        <w:t xml:space="preserve">L’Amministrazione titolare del Piano operativo oggetto della riclassificazione, cui prevista al comma 1, è responsabile della individuazione degli interventi, comprensivi di quelli previsti in sostituzione degli interventi già finanziati alla data di entrata in vigore della presente disposizione, inclusa la vigilanza sulla attuazione dei singoli interventi, l’approvazione di varianti, la presentazione degli stati di avanzamento, nonché delle richieste di erogazione delle risorse ai beneficiari. </w:t>
      </w:r>
    </w:p>
    <w:p w:rsidR="003654ED" w:rsidRPr="003654ED" w:rsidRDefault="003654ED" w:rsidP="00826FD7">
      <w:pPr>
        <w:pStyle w:val="Paragrafoelenco"/>
        <w:numPr>
          <w:ilvl w:val="0"/>
          <w:numId w:val="35"/>
        </w:numPr>
        <w:spacing w:after="0" w:line="240" w:lineRule="auto"/>
        <w:ind w:left="284" w:hanging="284"/>
        <w:rPr>
          <w:rFonts w:ascii="Times New Roman" w:hAnsi="Times New Roman"/>
          <w:szCs w:val="24"/>
          <w:lang w:val="it-IT"/>
        </w:rPr>
      </w:pPr>
      <w:r w:rsidRPr="003654ED">
        <w:rPr>
          <w:rFonts w:ascii="Times New Roman" w:hAnsi="Times New Roman"/>
          <w:szCs w:val="24"/>
          <w:lang w:val="it-IT"/>
        </w:rPr>
        <w:t>Per gli interventi di cui al comma 7, lettera b), il CIPE, con la medesima delibera di approvazione del Piano sviluppo e coesione, stabilisce, a fini di accelerarne la realizzazione e la spesa, le misure di accompagnamento alla progettazione e all’attuazione da parte del Dipartimento per le politiche di coesione, dell’Agenzia per la coesione territoriale e della Struttura per la progettazione di beni ed edifici pubblici di cui all’articolo 1, comma 162, della legge 30 dicembre 2018, n. 145.</w:t>
      </w:r>
    </w:p>
    <w:p w:rsidR="003654ED" w:rsidRPr="003654ED" w:rsidRDefault="003654ED" w:rsidP="00826FD7">
      <w:pPr>
        <w:pStyle w:val="Paragrafoelenco"/>
        <w:numPr>
          <w:ilvl w:val="0"/>
          <w:numId w:val="35"/>
        </w:numPr>
        <w:spacing w:after="0" w:line="240" w:lineRule="auto"/>
        <w:ind w:left="284" w:hanging="284"/>
        <w:rPr>
          <w:rFonts w:ascii="Times New Roman" w:hAnsi="Times New Roman"/>
          <w:szCs w:val="24"/>
          <w:lang w:val="it-IT"/>
        </w:rPr>
      </w:pPr>
      <w:r w:rsidRPr="003654ED">
        <w:rPr>
          <w:rFonts w:ascii="Times New Roman" w:hAnsi="Times New Roman"/>
          <w:szCs w:val="24"/>
          <w:lang w:val="it-IT"/>
        </w:rPr>
        <w:t>Le risorse di cui al comma 1, eventualmente non rientranti nel Piano sviluppo e coesione, sono riprogrammate con delibera CIPE su proposta del Ministro per il Sud al fine di contribuire:</w:t>
      </w:r>
    </w:p>
    <w:p w:rsidR="003654ED" w:rsidRPr="003654ED" w:rsidRDefault="003654ED" w:rsidP="00826FD7">
      <w:pPr>
        <w:pStyle w:val="Paragrafoelenco"/>
        <w:numPr>
          <w:ilvl w:val="0"/>
          <w:numId w:val="38"/>
        </w:numPr>
        <w:spacing w:after="0" w:line="240" w:lineRule="auto"/>
        <w:ind w:left="567" w:hanging="284"/>
        <w:rPr>
          <w:rFonts w:ascii="Times New Roman" w:hAnsi="Times New Roman"/>
          <w:szCs w:val="24"/>
          <w:lang w:val="it-IT"/>
        </w:rPr>
      </w:pPr>
      <w:r w:rsidRPr="003654ED">
        <w:rPr>
          <w:rFonts w:ascii="Times New Roman" w:hAnsi="Times New Roman"/>
          <w:szCs w:val="24"/>
          <w:lang w:val="it-IT"/>
        </w:rPr>
        <w:t xml:space="preserve">al finanziamento dei Piani sviluppo e coesione relativi alle Amministrazioni di cui al comma 2 per le quali le risorse di cui al comma 1 di cui risultino titolari al momento di entrata in vigore della norma non siano superiori alle risorse assegnate al Piano sviluppo e coesione relativo alle medesime Amministrazioni ai sensi del comma 7; </w:t>
      </w:r>
    </w:p>
    <w:p w:rsidR="003654ED" w:rsidRPr="003654ED" w:rsidRDefault="003654ED" w:rsidP="00826FD7">
      <w:pPr>
        <w:pStyle w:val="Paragrafoelenco"/>
        <w:numPr>
          <w:ilvl w:val="0"/>
          <w:numId w:val="38"/>
        </w:numPr>
        <w:spacing w:after="0" w:line="240" w:lineRule="auto"/>
        <w:ind w:left="567" w:hanging="284"/>
        <w:rPr>
          <w:rFonts w:ascii="Times New Roman" w:hAnsi="Times New Roman"/>
          <w:szCs w:val="24"/>
          <w:lang w:val="it-IT"/>
        </w:rPr>
      </w:pPr>
      <w:r w:rsidRPr="003654ED">
        <w:rPr>
          <w:rFonts w:ascii="Times New Roman" w:hAnsi="Times New Roman"/>
          <w:szCs w:val="24"/>
          <w:lang w:val="it-IT"/>
        </w:rPr>
        <w:t xml:space="preserve">al finanziamento di “Programmi di piccole opere e manutenzioni straordinarie” per infrastrutture stradali, ferroviarie, aeroportuali, idriche, nonché per fronteggiare il dissesto idrogeologico e per la messa in sicurezza di scuole, ospedali ed altre strutture pubbliche, da attuare attraverso lo strumento del Contratto istituzionale di sviluppo di cui all’articolo 6 del decreto legislativo 31 maggio 2011, n.88 da stipulare per singola area tematica; </w:t>
      </w:r>
    </w:p>
    <w:p w:rsidR="003654ED" w:rsidRPr="003654ED" w:rsidRDefault="003654ED" w:rsidP="00826FD7">
      <w:pPr>
        <w:pStyle w:val="Paragrafoelenco"/>
        <w:numPr>
          <w:ilvl w:val="0"/>
          <w:numId w:val="38"/>
        </w:numPr>
        <w:spacing w:after="0" w:line="240" w:lineRule="auto"/>
        <w:ind w:left="567" w:hanging="284"/>
        <w:rPr>
          <w:rFonts w:ascii="Times New Roman" w:hAnsi="Times New Roman"/>
          <w:szCs w:val="24"/>
          <w:lang w:val="it-IT"/>
        </w:rPr>
      </w:pPr>
      <w:r w:rsidRPr="003654ED">
        <w:rPr>
          <w:rFonts w:ascii="Times New Roman" w:hAnsi="Times New Roman"/>
          <w:szCs w:val="24"/>
          <w:lang w:val="it-IT"/>
        </w:rPr>
        <w:t xml:space="preserve">al finanziamento della progettazione degli interventi infrastrutturali. </w:t>
      </w:r>
    </w:p>
    <w:p w:rsidR="003654ED" w:rsidRPr="003654ED" w:rsidRDefault="003654ED" w:rsidP="00826FD7">
      <w:pPr>
        <w:pStyle w:val="Paragrafoelenco"/>
        <w:numPr>
          <w:ilvl w:val="0"/>
          <w:numId w:val="40"/>
        </w:numPr>
        <w:tabs>
          <w:tab w:val="clear" w:pos="720"/>
          <w:tab w:val="num" w:pos="360"/>
        </w:tabs>
        <w:spacing w:after="0" w:line="240" w:lineRule="auto"/>
        <w:ind w:left="284" w:hanging="284"/>
        <w:rPr>
          <w:rFonts w:ascii="Times New Roman" w:hAnsi="Times New Roman"/>
          <w:szCs w:val="24"/>
          <w:lang w:val="it-IT"/>
        </w:rPr>
      </w:pPr>
      <w:r w:rsidRPr="003654ED">
        <w:rPr>
          <w:rFonts w:ascii="Times New Roman" w:hAnsi="Times New Roman"/>
          <w:szCs w:val="24"/>
          <w:lang w:val="it-IT"/>
        </w:rPr>
        <w:t xml:space="preserve">Resta in ogni caso fermo il vincolo di destinazione territoriale di cui all’articolo 1, comma 6, della legge 27 dicembre 2013 n. 147. Restano, altresì, ferme le norme di legge relative alle risorse di cui al comma 1, in quanto compatibili. </w:t>
      </w:r>
    </w:p>
    <w:p w:rsidR="003654ED" w:rsidRPr="003654ED" w:rsidRDefault="003654ED" w:rsidP="00826FD7">
      <w:pPr>
        <w:pStyle w:val="Paragrafoelenco"/>
        <w:numPr>
          <w:ilvl w:val="0"/>
          <w:numId w:val="40"/>
        </w:numPr>
        <w:tabs>
          <w:tab w:val="clear" w:pos="720"/>
          <w:tab w:val="num" w:pos="360"/>
        </w:tabs>
        <w:spacing w:after="0" w:line="240" w:lineRule="auto"/>
        <w:ind w:left="284" w:hanging="284"/>
        <w:rPr>
          <w:rFonts w:ascii="Times New Roman" w:hAnsi="Times New Roman"/>
          <w:szCs w:val="24"/>
          <w:lang w:val="it-IT"/>
        </w:rPr>
      </w:pPr>
      <w:r w:rsidRPr="003654ED">
        <w:rPr>
          <w:rFonts w:ascii="Times New Roman" w:hAnsi="Times New Roman"/>
          <w:szCs w:val="24"/>
          <w:lang w:val="it-IT"/>
        </w:rPr>
        <w:t>In relazione alle nuove risorse del Fondo sviluppo e coesione attribuite con la Legge 30 dicembre 2018 n.145 e non ancora programmate alla data di entrata in vigore della presente disposizione, le proposte di assegnazione di risorse da sottoporre al CIPE per il finanziamento di interventi infrastrutturali devono essere corredate della positiva valutazione tecnica da parte del Dipartimento per le politiche di coesione. Salvo diversa e motivata previsione nella delibera di assegnazione del CIPE, tali assegnazioni decadono ove non diano luogo a obbligazioni giuridicamente vincolanti entro tre anni dalla pubblicazione sulla Gazzetta Ufficiale della Repubblica Italiana della medesima delibera. Le relative risorse non possono essere riassegnate alla medesima Amministrazione.</w:t>
      </w:r>
    </w:p>
    <w:p w:rsidR="003654ED" w:rsidRPr="003654ED" w:rsidRDefault="003654ED" w:rsidP="00826FD7">
      <w:pPr>
        <w:pStyle w:val="Paragrafoelenco"/>
        <w:numPr>
          <w:ilvl w:val="0"/>
          <w:numId w:val="40"/>
        </w:numPr>
        <w:tabs>
          <w:tab w:val="clear" w:pos="720"/>
          <w:tab w:val="num" w:pos="360"/>
        </w:tabs>
        <w:spacing w:after="0" w:line="240" w:lineRule="auto"/>
        <w:ind w:left="284" w:hanging="284"/>
        <w:rPr>
          <w:rFonts w:ascii="Times New Roman" w:hAnsi="Times New Roman"/>
          <w:szCs w:val="24"/>
          <w:lang w:val="it-IT"/>
        </w:rPr>
      </w:pPr>
      <w:r w:rsidRPr="003654ED">
        <w:rPr>
          <w:rFonts w:ascii="Times New Roman" w:hAnsi="Times New Roman"/>
          <w:szCs w:val="24"/>
          <w:lang w:val="it-IT"/>
        </w:rPr>
        <w:t>Al fine di supportare le Amministrazioni di cui al comma 2 nella progettazione e realizzazione di interventi infrastrutturali le risorse destinate alla progettazione di cui al comma 10, lettera c) finanziano i costi della progettazione tecnica dei progetti infrastrutturali che abbiano avuto la valutazione positiva da parte delle strutture tecniche della Presidenza del Consiglio dei ministri, sulla base dell’effettiva rispondenza alle priorità di sviluppo e ai fabbisogni del territorio, dell’eventuale necessità di fronteggiare situazioni emergenziali, da sostenere da parte delle Amministrazioni titolari dei Piani operativi di cui al comma 1, anche attraverso il ricorso alla Struttura per la progettazione di beni ed edifici pubblici di cui all’articolo 1, comma 162, della legge 30 dicembre 2018, n. 145. I progetti per i quali sia completata positivamente la progettazione esecutiva accedono prioritariamente ai finanziamenti che si renderanno disponibili per la realizzazione. Alle risorse del Fondo e sviluppo e coesione assegnate alle finalità specifiche di cui al presente comma non si applica il vincolo di destinazione territoriale di cui all’articolo 1, comma 6, della legge 27 dicembre 2013 n. 147.</w:t>
      </w:r>
    </w:p>
    <w:p w:rsidR="003654ED" w:rsidRPr="003654ED" w:rsidRDefault="003654ED" w:rsidP="00826FD7">
      <w:pPr>
        <w:pStyle w:val="Paragrafoelenco"/>
        <w:numPr>
          <w:ilvl w:val="0"/>
          <w:numId w:val="40"/>
        </w:numPr>
        <w:tabs>
          <w:tab w:val="clear" w:pos="720"/>
          <w:tab w:val="num" w:pos="360"/>
        </w:tabs>
        <w:spacing w:after="0" w:line="240" w:lineRule="auto"/>
        <w:ind w:left="284" w:hanging="284"/>
        <w:rPr>
          <w:rFonts w:ascii="Times New Roman" w:hAnsi="Times New Roman"/>
          <w:szCs w:val="24"/>
          <w:lang w:val="it-IT"/>
        </w:rPr>
      </w:pPr>
      <w:r w:rsidRPr="003654ED">
        <w:rPr>
          <w:rFonts w:ascii="Times New Roman" w:hAnsi="Times New Roman"/>
          <w:szCs w:val="24"/>
          <w:lang w:val="it-IT"/>
        </w:rPr>
        <w:t xml:space="preserve">Ai Piani operativi redatti a seguito della riclassificazione di cui al comma 1 si applicano i principi di cui alla delibera CIPE n. 25/2016. Il CIPE, su proposta del Ministro per il Sud, d’intesa con il Ministro per gli Affari regionali, previa intesa con la Conferenza Stato-Regioni, adotta una apposita delibera per assicurare la fase transitoria della disciplina dei cicli di programmazione 2000-2006 e 2007- 2013. Nelle more dell’approvazione dei singoli Piani di sviluppo e coesione, si applicano le regole di programmazione vigenti. </w:t>
      </w:r>
    </w:p>
    <w:p w:rsidR="003654ED" w:rsidRPr="003654ED" w:rsidRDefault="003654ED" w:rsidP="00826FD7">
      <w:pPr>
        <w:pStyle w:val="Paragrafoelenco"/>
        <w:numPr>
          <w:ilvl w:val="0"/>
          <w:numId w:val="40"/>
        </w:numPr>
        <w:tabs>
          <w:tab w:val="clear" w:pos="720"/>
          <w:tab w:val="num" w:pos="360"/>
        </w:tabs>
        <w:spacing w:after="0" w:line="240" w:lineRule="auto"/>
        <w:ind w:left="284" w:hanging="284"/>
        <w:rPr>
          <w:rFonts w:ascii="Times New Roman" w:hAnsi="Times New Roman"/>
          <w:szCs w:val="24"/>
          <w:lang w:val="it-IT"/>
        </w:rPr>
      </w:pPr>
      <w:r w:rsidRPr="003654ED">
        <w:rPr>
          <w:rFonts w:ascii="Times New Roman" w:hAnsi="Times New Roman"/>
          <w:szCs w:val="24"/>
          <w:lang w:val="it-IT"/>
        </w:rPr>
        <w:t>Il Ministro per il Sud presenta al CIPE:</w:t>
      </w:r>
    </w:p>
    <w:p w:rsidR="003654ED" w:rsidRPr="003654ED" w:rsidRDefault="003654ED" w:rsidP="00826FD7">
      <w:pPr>
        <w:pStyle w:val="Paragrafoelenco"/>
        <w:numPr>
          <w:ilvl w:val="0"/>
          <w:numId w:val="39"/>
        </w:numPr>
        <w:spacing w:after="0" w:line="240" w:lineRule="auto"/>
        <w:ind w:left="567" w:hanging="284"/>
        <w:rPr>
          <w:rFonts w:ascii="Times New Roman" w:hAnsi="Times New Roman"/>
          <w:szCs w:val="24"/>
          <w:lang w:val="it-IT"/>
        </w:rPr>
      </w:pPr>
      <w:r w:rsidRPr="003654ED">
        <w:rPr>
          <w:rFonts w:ascii="Times New Roman" w:hAnsi="Times New Roman"/>
          <w:szCs w:val="24"/>
          <w:lang w:val="it-IT"/>
        </w:rPr>
        <w:t>entro il 31 marzo 2020 una relazione sull’attuazione delle disposizioni del presente articolo;</w:t>
      </w:r>
    </w:p>
    <w:p w:rsidR="003654ED" w:rsidRPr="003654ED" w:rsidRDefault="003654ED" w:rsidP="00826FD7">
      <w:pPr>
        <w:pStyle w:val="Paragrafoelenco"/>
        <w:numPr>
          <w:ilvl w:val="0"/>
          <w:numId w:val="39"/>
        </w:numPr>
        <w:spacing w:after="0" w:line="240" w:lineRule="auto"/>
        <w:ind w:left="567" w:hanging="284"/>
        <w:rPr>
          <w:rFonts w:ascii="Times New Roman" w:hAnsi="Times New Roman"/>
          <w:szCs w:val="24"/>
          <w:lang w:val="it-IT"/>
        </w:rPr>
      </w:pPr>
      <w:r w:rsidRPr="003654ED">
        <w:rPr>
          <w:rFonts w:ascii="Times New Roman" w:hAnsi="Times New Roman"/>
          <w:szCs w:val="24"/>
          <w:lang w:val="it-IT"/>
        </w:rPr>
        <w:t>entro il 31 marzo di ogni anno, a partire dall’anno 2020, una relazione annuale sull’andamento degli interventi ricompresi nei Piani operativi di cui al comma 1 riferita all’anno precedente.</w:t>
      </w:r>
    </w:p>
    <w:p w:rsidR="003654ED" w:rsidRPr="003654ED" w:rsidRDefault="003654ED" w:rsidP="003654ED">
      <w:pPr>
        <w:ind w:left="284" w:hanging="284"/>
        <w:jc w:val="center"/>
        <w:rPr>
          <w:rFonts w:cs="Times New Roman"/>
          <w:i/>
          <w:szCs w:val="24"/>
        </w:rPr>
      </w:pPr>
    </w:p>
    <w:p w:rsidR="003654ED" w:rsidRPr="003654ED" w:rsidRDefault="003654ED" w:rsidP="003654ED">
      <w:pPr>
        <w:ind w:left="57"/>
        <w:jc w:val="center"/>
        <w:rPr>
          <w:rFonts w:cs="Times New Roman"/>
          <w:b/>
          <w:szCs w:val="24"/>
        </w:rPr>
      </w:pPr>
      <w:r w:rsidRPr="003654ED">
        <w:rPr>
          <w:rFonts w:cs="Times New Roman"/>
          <w:b/>
          <w:szCs w:val="24"/>
        </w:rPr>
        <w:t>Relazione illustrativa e tecnica</w:t>
      </w:r>
    </w:p>
    <w:p w:rsidR="003654ED" w:rsidRPr="003654ED" w:rsidRDefault="003654ED" w:rsidP="003654ED">
      <w:pPr>
        <w:ind w:left="57"/>
        <w:rPr>
          <w:rFonts w:cs="Times New Roman"/>
          <w:szCs w:val="24"/>
        </w:rPr>
      </w:pPr>
      <w:r w:rsidRPr="003654ED">
        <w:rPr>
          <w:rFonts w:cs="Times New Roman"/>
          <w:szCs w:val="24"/>
        </w:rPr>
        <w:t>La disposizione prevede che su proposta del Ministro per il SUD si proceda ad una riclassificazione della pluralità degli attuali documenti programmatori variamente denominati al fine di sottoporre all’approvazione del CIPE un unico Piano operativo denominato “Piano sviluppo e coesione”, con modalità unitarie di gestione e monitoraggio.</w:t>
      </w:r>
    </w:p>
    <w:p w:rsidR="003654ED" w:rsidRPr="003654ED" w:rsidRDefault="003654ED" w:rsidP="003654ED">
      <w:pPr>
        <w:ind w:left="57"/>
        <w:rPr>
          <w:rFonts w:cs="Times New Roman"/>
          <w:szCs w:val="24"/>
        </w:rPr>
      </w:pPr>
      <w:r w:rsidRPr="003654ED">
        <w:rPr>
          <w:rFonts w:cs="Times New Roman"/>
          <w:szCs w:val="24"/>
        </w:rPr>
        <w:t xml:space="preserve">Ad oggi, infatti, esistono oltre mille strumenti sottoscritti: 785 APQ (FSC 2000-2006 comprensivi dei diversi aggiornamenti e addendum), 188 APQ rafforzati (FSC 2007-2013), 11 Programmi operativi FSC 2014-2020, 23 PATTI per lo sviluppo (11 Regioni, 12 patti città metropolitane). </w:t>
      </w:r>
    </w:p>
    <w:p w:rsidR="003654ED" w:rsidRPr="003654ED" w:rsidRDefault="003654ED" w:rsidP="003654ED">
      <w:pPr>
        <w:ind w:left="57"/>
        <w:rPr>
          <w:rFonts w:cs="Times New Roman"/>
          <w:szCs w:val="24"/>
        </w:rPr>
      </w:pPr>
      <w:r w:rsidRPr="003654ED">
        <w:rPr>
          <w:rFonts w:cs="Times New Roman"/>
          <w:szCs w:val="24"/>
        </w:rPr>
        <w:t xml:space="preserve">I singoli strumenti individuano specifiche modalità di attuazione, di monitoraggio e di governance che possono incidere negativamente sulla capacità di assicurare il coordinamento delle politiche di sviluppo e coesione. </w:t>
      </w:r>
    </w:p>
    <w:p w:rsidR="003654ED" w:rsidRPr="003654ED" w:rsidRDefault="003654ED" w:rsidP="003654ED">
      <w:pPr>
        <w:ind w:left="57"/>
        <w:rPr>
          <w:rFonts w:cs="Times New Roman"/>
          <w:szCs w:val="24"/>
        </w:rPr>
      </w:pPr>
      <w:r w:rsidRPr="003654ED">
        <w:rPr>
          <w:rFonts w:cs="Times New Roman"/>
          <w:szCs w:val="24"/>
        </w:rPr>
        <w:t>Allo scopo, vengono concentrati gli strumenti di governance oggi in essere in una pluralità di forme e di rispettive regole in appositi Comitati di Sorveglianza, costituiti dalle Amministrazioni titolari dei Piani operativi ai quali partecipano rappresentanti del Dipartimento per le politiche di coesione, dell’Agenzia per la coesione territoriale, del Dipartimento per la programmazione e il coordinamento della politica economica e dei Ministeri competenti per area tematica, nonché del partenariato economico e sociale. Per la partecipazione ai Comitati di Sorveglianza non sono dovuti gettoni di presenza, compensi, rimborsi spese o altri emolumenti comunque denominati.</w:t>
      </w:r>
    </w:p>
    <w:p w:rsidR="003654ED" w:rsidRPr="003654ED" w:rsidRDefault="003654ED" w:rsidP="003654ED">
      <w:pPr>
        <w:ind w:left="57"/>
        <w:rPr>
          <w:rFonts w:cs="Times New Roman"/>
          <w:szCs w:val="24"/>
        </w:rPr>
      </w:pPr>
      <w:r w:rsidRPr="003654ED">
        <w:rPr>
          <w:rFonts w:cs="Times New Roman"/>
          <w:szCs w:val="24"/>
        </w:rPr>
        <w:t xml:space="preserve">La disposizione responsabilizza maggiormente l’Amministrazione titolare del programma, in ordine all’individuazione degli interventi, alla rispettiva attuazione, e all’approvazione di varianti alla presentazione degli stati di avanzamento e delle richieste di erogazione delle risorse ai beneficiari. </w:t>
      </w:r>
    </w:p>
    <w:p w:rsidR="003654ED" w:rsidRPr="003654ED" w:rsidRDefault="003654ED" w:rsidP="003654ED">
      <w:pPr>
        <w:ind w:left="57"/>
        <w:rPr>
          <w:rFonts w:cs="Times New Roman"/>
          <w:szCs w:val="24"/>
        </w:rPr>
      </w:pPr>
      <w:r w:rsidRPr="003654ED">
        <w:rPr>
          <w:rFonts w:cs="Times New Roman"/>
          <w:szCs w:val="24"/>
        </w:rPr>
        <w:t xml:space="preserve">Nell’ambito dei Comitati di sorveglianza è possibile proporre le misure di accelerazione, nonché contestare eventuali inadempienze di taluni attori. </w:t>
      </w:r>
    </w:p>
    <w:p w:rsidR="003654ED" w:rsidRPr="000E474A" w:rsidRDefault="003654ED" w:rsidP="003654ED">
      <w:pPr>
        <w:ind w:left="57"/>
        <w:rPr>
          <w:rFonts w:cs="Times New Roman"/>
          <w:szCs w:val="24"/>
        </w:rPr>
      </w:pPr>
      <w:r w:rsidRPr="000E474A">
        <w:rPr>
          <w:rFonts w:cs="Times New Roman"/>
          <w:szCs w:val="24"/>
        </w:rPr>
        <w:t>La norma prevede, inoltre, che, al fine di supportare le Amministrazioni nella progettazione e realizzazione dei competenti interventi infrastrutturali, la destinazione delle risorse del Fondo di sviluppo e coesione per la progettazione degli interventi infrastrutturali.</w:t>
      </w:r>
    </w:p>
    <w:p w:rsidR="003654ED" w:rsidRPr="000E474A" w:rsidRDefault="003654ED" w:rsidP="003654ED">
      <w:pPr>
        <w:ind w:left="57"/>
        <w:rPr>
          <w:rFonts w:cs="Times New Roman"/>
          <w:szCs w:val="24"/>
        </w:rPr>
      </w:pPr>
      <w:r w:rsidRPr="000E474A">
        <w:rPr>
          <w:rFonts w:cs="Times New Roman"/>
          <w:szCs w:val="24"/>
        </w:rPr>
        <w:t>Il comma 14 del presente articolo rinvia al CIPE per l’adozione delle necessarie misure transitorie a seguito dell’avvenuta riclassificazione degli strumenti.</w:t>
      </w:r>
    </w:p>
    <w:p w:rsidR="003654ED" w:rsidRPr="000E474A" w:rsidRDefault="003654ED" w:rsidP="003654ED">
      <w:pPr>
        <w:ind w:left="57"/>
        <w:rPr>
          <w:rFonts w:cs="Times New Roman"/>
          <w:szCs w:val="24"/>
        </w:rPr>
      </w:pPr>
      <w:r w:rsidRPr="000E474A">
        <w:rPr>
          <w:rFonts w:cs="Times New Roman"/>
          <w:szCs w:val="24"/>
        </w:rPr>
        <w:t xml:space="preserve">Il successivo comma prevede la predisposizione di apposite relazioni da parte del Ministro per il Sud al CIPE sull’attuazione delle misure introdotte e sull’andamento della realizzazione degli interventi. </w:t>
      </w:r>
    </w:p>
    <w:p w:rsidR="003654ED" w:rsidRDefault="003654ED" w:rsidP="001E1E18">
      <w:pPr>
        <w:ind w:left="57"/>
        <w:rPr>
          <w:rFonts w:cs="Times New Roman"/>
          <w:szCs w:val="24"/>
        </w:rPr>
      </w:pPr>
      <w:r w:rsidRPr="000E474A">
        <w:rPr>
          <w:rFonts w:cs="Times New Roman"/>
          <w:szCs w:val="24"/>
        </w:rPr>
        <w:t>La norma non comporta nuovi o maggiori oneri per la finanza pubblica e assicura un più efficiente ed efficace utilizzo delle risorse già assegnate a legislazione vigente.</w:t>
      </w:r>
    </w:p>
    <w:p w:rsidR="000F26F5" w:rsidRDefault="000F26F5" w:rsidP="001E1E18">
      <w:pPr>
        <w:ind w:left="57"/>
        <w:rPr>
          <w:rFonts w:cs="Times New Roman"/>
          <w:szCs w:val="24"/>
        </w:rPr>
      </w:pPr>
    </w:p>
    <w:p w:rsidR="000F26F5" w:rsidRDefault="000F26F5" w:rsidP="000F26F5">
      <w:pPr>
        <w:pStyle w:val="Titolo2"/>
      </w:pPr>
      <w:bookmarkStart w:id="82" w:name="_Toc6937376"/>
      <w:r>
        <w:t>Articolo 45</w:t>
      </w:r>
      <w:r>
        <w:br/>
        <w:t>(Proroga del termine per la rideterminazione dei vitalizi regionali)</w:t>
      </w:r>
      <w:bookmarkEnd w:id="82"/>
    </w:p>
    <w:p w:rsidR="000F26F5" w:rsidRDefault="00D17647" w:rsidP="000F26F5">
      <w:pPr>
        <w:rPr>
          <w:lang w:eastAsia="it-IT"/>
        </w:rPr>
      </w:pPr>
      <w:r>
        <w:rPr>
          <w:lang w:eastAsia="it-IT"/>
        </w:rPr>
        <w:t>1. All’articolo 1, comma 965, primo periodo, della legge 30 dicembre 2018, n. 145, le parole “entro quattro mesi dalla data di entrata in vigore della presente legge, ovvero entro sei mesi dalla medesima data” sono sostituite dalle seguenti: “</w:t>
      </w:r>
      <w:r w:rsidR="000305C8">
        <w:rPr>
          <w:lang w:eastAsia="it-IT"/>
        </w:rPr>
        <w:t>entro il 30 maggio 2019, ovvero entro sei mesi dalla data di entrata in vigore della presente legge”.</w:t>
      </w:r>
    </w:p>
    <w:p w:rsidR="000305C8" w:rsidRDefault="000305C8" w:rsidP="000F26F5">
      <w:pPr>
        <w:rPr>
          <w:lang w:eastAsia="it-IT"/>
        </w:rPr>
      </w:pPr>
    </w:p>
    <w:p w:rsidR="000305C8" w:rsidRDefault="000305C8" w:rsidP="000305C8">
      <w:pPr>
        <w:jc w:val="center"/>
        <w:rPr>
          <w:b/>
          <w:lang w:eastAsia="it-IT"/>
        </w:rPr>
      </w:pPr>
      <w:r w:rsidRPr="000305C8">
        <w:rPr>
          <w:b/>
          <w:lang w:eastAsia="it-IT"/>
        </w:rPr>
        <w:t>Relazione illustrativa</w:t>
      </w:r>
    </w:p>
    <w:p w:rsidR="000305C8" w:rsidRDefault="000305C8" w:rsidP="000305C8">
      <w:pPr>
        <w:rPr>
          <w:lang w:eastAsia="it-IT"/>
        </w:rPr>
      </w:pPr>
      <w:r w:rsidRPr="000305C8">
        <w:rPr>
          <w:lang w:eastAsia="it-IT"/>
        </w:rPr>
        <w:t>La dispo</w:t>
      </w:r>
      <w:r>
        <w:rPr>
          <w:lang w:eastAsia="it-IT"/>
        </w:rPr>
        <w:t>sizione, in attuazione dell’intesa sancita il 3 aprile 2019 dalla conferenza permanente per i rapporti tra lo Stato, le Regioni e le Province autonome di Trento</w:t>
      </w:r>
      <w:r w:rsidR="00B966F6">
        <w:rPr>
          <w:lang w:eastAsia="it-IT"/>
        </w:rPr>
        <w:t xml:space="preserve"> e di Bolzano, dispone la proroga fino al 30 maggio 2019, del termine per l’adozione dei provvedimenti che le Regioni e le Province autonome </w:t>
      </w:r>
      <w:r w:rsidR="00FC3039">
        <w:rPr>
          <w:lang w:eastAsia="it-IT"/>
        </w:rPr>
        <w:t>di Trento e di Bolzano sono chiamate ad adottare in attuazione dell’articolo 1, comma 965, della legge di bilancio per il 2019 al fine di rideterminare la disciplina dei trattamenti previdenziali e dei vitalizi già in essere in favore di coloro che abbiano ricoperto la carica di presidente della regione, di consigliere regionale o di assessore regionale.</w:t>
      </w:r>
    </w:p>
    <w:p w:rsidR="00FC3039" w:rsidRDefault="00FC3039" w:rsidP="000305C8">
      <w:pPr>
        <w:rPr>
          <w:lang w:eastAsia="it-IT"/>
        </w:rPr>
      </w:pPr>
    </w:p>
    <w:p w:rsidR="00FC3039" w:rsidRDefault="00FC3039" w:rsidP="00FC3039">
      <w:pPr>
        <w:jc w:val="center"/>
        <w:rPr>
          <w:b/>
          <w:lang w:eastAsia="it-IT"/>
        </w:rPr>
      </w:pPr>
      <w:r w:rsidRPr="00FC3039">
        <w:rPr>
          <w:b/>
          <w:lang w:eastAsia="it-IT"/>
        </w:rPr>
        <w:t>Relazione tecnica</w:t>
      </w:r>
    </w:p>
    <w:p w:rsidR="00FC3039" w:rsidRDefault="00FC3039" w:rsidP="00FC3039">
      <w:pPr>
        <w:rPr>
          <w:lang w:eastAsia="it-IT"/>
        </w:rPr>
      </w:pPr>
      <w:r>
        <w:rPr>
          <w:lang w:eastAsia="it-IT"/>
        </w:rPr>
        <w:t xml:space="preserve">La disposizione non determina effetti finanziari, in quanto si limita a prevedere una modifica al termine per l’adozione dei provvedimenti legislativi di rideterminazione dei vitalizi regionali in essere, ai quali nell’ambito della legge di bilancio per l’anno 2019 non erano stati ascritti effetti sui saldi di finanza pubblica. </w:t>
      </w:r>
    </w:p>
    <w:p w:rsidR="00803469" w:rsidRDefault="00803469" w:rsidP="00803469">
      <w:pPr>
        <w:pStyle w:val="Titolo1"/>
        <w:rPr>
          <w:rFonts w:cs="Times New Roman"/>
          <w:szCs w:val="24"/>
        </w:rPr>
      </w:pPr>
      <w:bookmarkStart w:id="83" w:name="_Toc5984061"/>
    </w:p>
    <w:p w:rsidR="00803469" w:rsidRDefault="00803469" w:rsidP="00803469">
      <w:pPr>
        <w:pStyle w:val="Titolo2"/>
      </w:pPr>
      <w:bookmarkStart w:id="84" w:name="_Toc6937377"/>
      <w:r>
        <w:t>Articolo 46</w:t>
      </w:r>
      <w:r>
        <w:br/>
        <w:t>(Modifiche all’art. 2, comma 6 del decreto legge 5 gennaio 2015, n. 1)</w:t>
      </w:r>
      <w:bookmarkEnd w:id="83"/>
      <w:bookmarkEnd w:id="84"/>
    </w:p>
    <w:p w:rsidR="00803469" w:rsidRPr="00803469" w:rsidRDefault="00803469" w:rsidP="00803469">
      <w:pPr>
        <w:rPr>
          <w:rFonts w:cs="Times New Roman"/>
          <w:szCs w:val="24"/>
        </w:rPr>
      </w:pPr>
      <w:r w:rsidRPr="00803469">
        <w:rPr>
          <w:rFonts w:cs="Times New Roman"/>
          <w:szCs w:val="24"/>
        </w:rPr>
        <w:t>All’articolo 2, comma 6, del decreto legge 5 gennaio 2015, n. 1, convertito, con modificazioni, dalla legge 4 marzo 2015, n. 20:</w:t>
      </w:r>
    </w:p>
    <w:p w:rsidR="00803469" w:rsidRPr="00803469" w:rsidRDefault="00803469" w:rsidP="00803469">
      <w:pPr>
        <w:rPr>
          <w:rFonts w:cs="Times New Roman"/>
          <w:szCs w:val="24"/>
        </w:rPr>
      </w:pPr>
      <w:r w:rsidRPr="00803469">
        <w:rPr>
          <w:rFonts w:cs="Times New Roman"/>
          <w:szCs w:val="24"/>
        </w:rPr>
        <w:t>(i)</w:t>
      </w:r>
      <w:r w:rsidRPr="00803469">
        <w:rPr>
          <w:rFonts w:cs="Times New Roman"/>
          <w:szCs w:val="24"/>
        </w:rPr>
        <w:tab/>
        <w:t>al primo periodo, dopo la parola “Piano” è inserita la parola “Ambientale”; le parole “nei termini previsti dai commi 4 e 5 del presente articolo,” sono sostituite dalle seguenti: “come modificato e integrato con il D.P.C.M. 29 settembre 2017”; le parole “e delle altre norme a tutela dell’ambiente, della salute e dell’incolumità pubblica” sono abrogate;</w:t>
      </w:r>
    </w:p>
    <w:p w:rsidR="00803469" w:rsidRPr="00803469" w:rsidRDefault="00803469" w:rsidP="00803469">
      <w:pPr>
        <w:rPr>
          <w:rFonts w:cs="Times New Roman"/>
          <w:szCs w:val="24"/>
        </w:rPr>
      </w:pPr>
      <w:r w:rsidRPr="00803469">
        <w:rPr>
          <w:rFonts w:cs="Times New Roman"/>
          <w:szCs w:val="24"/>
        </w:rPr>
        <w:t>(ii)</w:t>
      </w:r>
      <w:r w:rsidRPr="00803469">
        <w:rPr>
          <w:rFonts w:cs="Times New Roman"/>
          <w:szCs w:val="24"/>
        </w:rPr>
        <w:tab/>
        <w:t>al secondo periodo, dopo la parola “Piano” è inserita la parola “Ambientale”; dopo le parole “periodo precedente” sono inserite le seguenti: “, nel rispetto dei termini e delle modalità ivi stabiliti,”; le parole “, di tutela della salute e dell’incolumità pubblica e di sicurezza sul lavoro” sono abrogate;</w:t>
      </w:r>
    </w:p>
    <w:p w:rsidR="00803469" w:rsidRPr="00803469" w:rsidRDefault="00803469" w:rsidP="00803469">
      <w:pPr>
        <w:rPr>
          <w:rFonts w:cs="Times New Roman"/>
          <w:szCs w:val="24"/>
        </w:rPr>
      </w:pPr>
      <w:r w:rsidRPr="00803469">
        <w:rPr>
          <w:rFonts w:cs="Times New Roman"/>
          <w:szCs w:val="24"/>
        </w:rPr>
        <w:t>(iii)</w:t>
      </w:r>
      <w:r w:rsidRPr="00803469">
        <w:rPr>
          <w:rFonts w:cs="Times New Roman"/>
          <w:szCs w:val="24"/>
        </w:rPr>
        <w:tab/>
        <w:t xml:space="preserve">il terzo periodo è sostituito dal seguente: “Per quanto attiene all’affittuario o acquirente e ai soggetti funzionalmente da questi delegati, la disciplina di cui al periodo precedente si applica con riferimento alle condotte poste in essere fino al 30 giugno 2019”. </w:t>
      </w:r>
    </w:p>
    <w:p w:rsidR="00803469" w:rsidRPr="00803469" w:rsidRDefault="00803469" w:rsidP="00803469">
      <w:pPr>
        <w:rPr>
          <w:rFonts w:cs="Times New Roman"/>
          <w:szCs w:val="24"/>
        </w:rPr>
      </w:pPr>
    </w:p>
    <w:p w:rsidR="00803469" w:rsidRPr="00803469" w:rsidRDefault="00803469" w:rsidP="00803469">
      <w:pPr>
        <w:jc w:val="center"/>
        <w:rPr>
          <w:rFonts w:cs="Times New Roman"/>
          <w:b/>
          <w:szCs w:val="24"/>
        </w:rPr>
      </w:pPr>
      <w:r w:rsidRPr="00803469">
        <w:rPr>
          <w:rFonts w:cs="Times New Roman"/>
          <w:b/>
          <w:szCs w:val="24"/>
        </w:rPr>
        <w:t>Relazione Illustrativa</w:t>
      </w:r>
    </w:p>
    <w:p w:rsidR="00803469" w:rsidRPr="00803469" w:rsidRDefault="00803469" w:rsidP="00803469">
      <w:pPr>
        <w:rPr>
          <w:rFonts w:cs="Times New Roman"/>
          <w:szCs w:val="24"/>
        </w:rPr>
      </w:pPr>
      <w:r w:rsidRPr="00803469">
        <w:rPr>
          <w:rFonts w:cs="Times New Roman"/>
          <w:szCs w:val="24"/>
        </w:rPr>
        <w:t xml:space="preserve">La disposizione attualmente vigente di cui al primo periodo dell’articolo 2, comma 6 del d.l. 1/2015 equipara, ai fini della valutazione delle condotte strettamente connesse all’attuazione dell’A.I.A. e delle altre norme a tutela dell’ambiente, della salute e dell’incolumità pubblica (tale essendo, attualmente, il “perimetro oggettivo” della disposizione), l’osservanza delle disposizioni contenute nel c.d. Piano Ambientale di cui al DPCM 14 marzo 2014 – come successivamente modificato con il DPCM 29 settembre 2017 – alla adozione ed efficace attuazione dei modelli di organizzazione e gestione previsti dall’articolo 6 del d.lgs. 231/2001. </w:t>
      </w:r>
    </w:p>
    <w:p w:rsidR="00803469" w:rsidRPr="00803469" w:rsidRDefault="00803469" w:rsidP="00803469">
      <w:pPr>
        <w:rPr>
          <w:rFonts w:cs="Times New Roman"/>
          <w:szCs w:val="24"/>
        </w:rPr>
      </w:pPr>
      <w:r w:rsidRPr="00803469">
        <w:rPr>
          <w:rFonts w:cs="Times New Roman"/>
          <w:szCs w:val="24"/>
        </w:rPr>
        <w:t>In altre parole, osservare correttamente le prescrizioni del Piano Ambientale equivale ad adottare ed attuare efficacemente i modelli di organizzazione e gestione previsti dal d.lgs. 231/2001 relativamente alla valutazione delle condotte strettamente connesse all’attuazione dell’A.I.A. e delle altre norme a tutela dell’ambiente, della salute e della incolumità pubblica.</w:t>
      </w:r>
    </w:p>
    <w:p w:rsidR="00803469" w:rsidRPr="00803469" w:rsidRDefault="00803469" w:rsidP="00803469">
      <w:pPr>
        <w:rPr>
          <w:rFonts w:cs="Times New Roman"/>
          <w:szCs w:val="24"/>
        </w:rPr>
      </w:pPr>
      <w:r w:rsidRPr="00803469">
        <w:rPr>
          <w:rFonts w:cs="Times New Roman"/>
          <w:szCs w:val="24"/>
        </w:rPr>
        <w:t>Il proposto intervento abrogativo mira a comprimere l’ambito oggettivo di operatività della norma, prevedendo che l’osservanza delle disposizioni del Piano Ambientale equivalga all’adozione ed efficace attuazione dei modelli di organizzazione e gestione ai fini della valutazione, da ora in avanti, delle sole condotte strettamente connesse all’attuazione dell’A.I.A., espungendosi ogni riferimento ad altre norme di legge (e, in particolare, alle norme a tutela dell’ambiente, della salute e dell’incolumità pubblica). Il riferimento al Piano Ambientale è completato con la menzione del DPCM del 29 settembre 2017, che ha integrato e modificato il DPCM del 2014.</w:t>
      </w:r>
    </w:p>
    <w:p w:rsidR="00803469" w:rsidRPr="00803469" w:rsidRDefault="00803469" w:rsidP="00803469">
      <w:pPr>
        <w:rPr>
          <w:rFonts w:cs="Times New Roman"/>
          <w:szCs w:val="24"/>
        </w:rPr>
      </w:pPr>
      <w:r w:rsidRPr="00803469">
        <w:rPr>
          <w:rFonts w:cs="Times New Roman"/>
          <w:szCs w:val="24"/>
        </w:rPr>
        <w:t>Parallelamente, l’ipotizzato intervento abrogativo di cui al secondo periodo mira a riconsiderare la natura delle prescrizioni poste dal citato Piano Ambientale, che vengono ora qualificate come le migliori regole preventive in materia esclusivamente ambientale e non, anche, in materia di tutela della salute e dell’incolumità pubblica e di sicurezza sul lavoro.</w:t>
      </w:r>
    </w:p>
    <w:p w:rsidR="00803469" w:rsidRPr="00803469" w:rsidRDefault="00803469" w:rsidP="00803469">
      <w:pPr>
        <w:rPr>
          <w:rFonts w:cs="Times New Roman"/>
          <w:szCs w:val="24"/>
        </w:rPr>
      </w:pPr>
      <w:r w:rsidRPr="00803469">
        <w:rPr>
          <w:rFonts w:cs="Times New Roman"/>
          <w:szCs w:val="24"/>
        </w:rPr>
        <w:t>In aggiunta, si specifica che le succitate condotte connesse all’attuazione del Piano Ambientale, perché non diano luogo a responsabilità è necessario siano poste in essere nel rispetto di termini e modalità previsti dal Piano Ambientale medesimo, nella versione risultante a seguito del DPCM 29 settembre 2017.</w:t>
      </w:r>
    </w:p>
    <w:p w:rsidR="00803469" w:rsidRPr="00803469" w:rsidRDefault="00803469" w:rsidP="00803469">
      <w:pPr>
        <w:rPr>
          <w:rFonts w:cs="Times New Roman"/>
          <w:szCs w:val="24"/>
        </w:rPr>
      </w:pPr>
      <w:r w:rsidRPr="00803469">
        <w:rPr>
          <w:rFonts w:cs="Times New Roman"/>
          <w:szCs w:val="24"/>
        </w:rPr>
        <w:t>Quanto, infine, al proposto intervento modificativo avente ad oggetto la disposizione di cui al terzo ed ultimo periodo dell’articolo 2, comma 6, del d.l. 1/2015, l’intento è quello di delimitare, temporalmente, al 30 giugno 2019, l’applicabilità della disciplina di cui al periodo precedente per quanto attiene all’affittuario o acquirente e ai soggetti funzionalmente da questi delegati.</w:t>
      </w:r>
    </w:p>
    <w:p w:rsidR="00803469" w:rsidRPr="00803469" w:rsidRDefault="00803469" w:rsidP="00803469">
      <w:pPr>
        <w:rPr>
          <w:rFonts w:cs="Times New Roman"/>
          <w:szCs w:val="24"/>
        </w:rPr>
      </w:pPr>
    </w:p>
    <w:p w:rsidR="00803469" w:rsidRPr="00803469" w:rsidRDefault="00803469" w:rsidP="00803469">
      <w:pPr>
        <w:rPr>
          <w:rFonts w:cs="Times New Roman"/>
          <w:szCs w:val="24"/>
        </w:rPr>
      </w:pPr>
      <w:r w:rsidRPr="00803469">
        <w:rPr>
          <w:rFonts w:cs="Times New Roman"/>
          <w:szCs w:val="24"/>
        </w:rPr>
        <w:t xml:space="preserve">Fermo restando quanto precede, occorre fare peraltro presente che: </w:t>
      </w:r>
    </w:p>
    <w:p w:rsidR="00803469" w:rsidRPr="00803469" w:rsidRDefault="00803469" w:rsidP="00803469">
      <w:pPr>
        <w:rPr>
          <w:rFonts w:cs="Times New Roman"/>
          <w:szCs w:val="24"/>
        </w:rPr>
      </w:pPr>
      <w:r w:rsidRPr="00803469">
        <w:rPr>
          <w:rFonts w:cs="Times New Roman"/>
          <w:szCs w:val="24"/>
        </w:rPr>
        <w:t>(a)</w:t>
      </w:r>
      <w:r w:rsidRPr="00803469">
        <w:rPr>
          <w:rFonts w:cs="Times New Roman"/>
          <w:szCs w:val="24"/>
        </w:rPr>
        <w:tab/>
        <w:t>lo scorso 24 gennaio, la Corte Europea dei Diritti dell’Uomo, nel pronunciare sentenza nel caso “Cordella e altri contro Italia” ha criticamente osservato, sia pure in un obiter dictum, che “[q]ui plus est, une immunité administrative et pénale a été reconnue aux personnes chargées de garantir le respect des prescriptions en matière environnementale, à savoir l’administrateur provisoire et le futur acquéreur de la société”;</w:t>
      </w:r>
    </w:p>
    <w:p w:rsidR="00803469" w:rsidRPr="00803469" w:rsidRDefault="00803469" w:rsidP="00803469">
      <w:pPr>
        <w:rPr>
          <w:rFonts w:cs="Times New Roman"/>
          <w:szCs w:val="24"/>
        </w:rPr>
      </w:pPr>
      <w:r w:rsidRPr="00803469">
        <w:rPr>
          <w:rFonts w:cs="Times New Roman"/>
          <w:szCs w:val="24"/>
        </w:rPr>
        <w:t>(b)</w:t>
      </w:r>
      <w:r w:rsidRPr="00803469">
        <w:rPr>
          <w:rFonts w:cs="Times New Roman"/>
          <w:szCs w:val="24"/>
        </w:rPr>
        <w:tab/>
        <w:t>lo scorso 8 febbraio, il Giudice per le indagini preliminari presso il Tribunale ordinario di Taranto ha sollevato questione di legittimità costituzionale in via incidentale con riferimento, inter alia, alla disposizione di cui al secondo periodo dell’articolo 2, comma 6, del d.l. 1/2015 in commento, per presunto contrasto con gli articoli 3, 24, 32, 35, 41, 112 e 117 della Costituzione, trasmettendo i relativi atti alla Corte costituzionale;</w:t>
      </w:r>
    </w:p>
    <w:p w:rsidR="00803469" w:rsidRPr="00803469" w:rsidRDefault="00803469" w:rsidP="00803469">
      <w:pPr>
        <w:rPr>
          <w:rFonts w:cs="Times New Roman"/>
          <w:szCs w:val="24"/>
        </w:rPr>
      </w:pPr>
      <w:r w:rsidRPr="00803469">
        <w:rPr>
          <w:rFonts w:cs="Times New Roman"/>
          <w:szCs w:val="24"/>
        </w:rPr>
        <w:t>(c)</w:t>
      </w:r>
      <w:r w:rsidRPr="00803469">
        <w:rPr>
          <w:rFonts w:cs="Times New Roman"/>
          <w:szCs w:val="24"/>
        </w:rPr>
        <w:tab/>
        <w:t>proprio la medesima Corte costituzionale, in occasione della sentenza n. 58/2018, si era espressa criticamente nei riguardi del c.d. “decreto Ilva” del 2015, che aveva consentito la prosecuzione dell’attività di impresa degli stabilimenti, in quanto di interesse strategico nazionale, nonostante il sequestro disposto dall’autorità giudiziaria per reati inerenti la sicurezza dei lavoratori, conseguentemente dichiarando illegittimi sia l’articolo 3 del decreto-legge 4 luglio 2015, n. 92, sia gli articoli 1, comma 2, e 21-octies della legge 6 agosto 2015, n. 132 (conversione in legge, con modificazioni, del decreto-legge 27 giugno 2015, n. 83).</w:t>
      </w:r>
    </w:p>
    <w:p w:rsidR="00803469" w:rsidRPr="00803469" w:rsidRDefault="00803469" w:rsidP="00803469">
      <w:pPr>
        <w:rPr>
          <w:rFonts w:cs="Times New Roman"/>
          <w:szCs w:val="24"/>
        </w:rPr>
      </w:pPr>
      <w:r w:rsidRPr="00803469">
        <w:rPr>
          <w:rFonts w:cs="Times New Roman"/>
          <w:szCs w:val="24"/>
        </w:rPr>
        <w:t xml:space="preserve">Nel caso di specie, la questione era nata a seguito dell’infortunio mortale subito da un lavoratore dell’Ilva esposto, senza adeguate protezioni, ad attività pericolose nell’area di un altoforno dello stabilimento di Taranto. </w:t>
      </w:r>
    </w:p>
    <w:p w:rsidR="00803469" w:rsidRPr="00803469" w:rsidRDefault="00803469" w:rsidP="00803469">
      <w:pPr>
        <w:rPr>
          <w:rFonts w:cs="Times New Roman"/>
          <w:szCs w:val="24"/>
        </w:rPr>
      </w:pPr>
      <w:r w:rsidRPr="00803469">
        <w:rPr>
          <w:rFonts w:cs="Times New Roman"/>
          <w:szCs w:val="24"/>
        </w:rPr>
        <w:t>L’altoforno era stato sequestrato dall’autorità giudiziaria ma, pochi giorni dopo, il legislatore aveva disposto la prosecuzione dell’attività di impresa, alla sola condizione che entro trenta giorni la parte privata colpita dal sequestro approntasse un piano di intervento contenente “misure e attività aggiuntive, anche di tipo provvisorio”, non meglio definite.</w:t>
      </w:r>
    </w:p>
    <w:p w:rsidR="00803469" w:rsidRPr="00803469" w:rsidRDefault="00803469" w:rsidP="00803469">
      <w:pPr>
        <w:rPr>
          <w:rFonts w:cs="Times New Roman"/>
          <w:szCs w:val="24"/>
        </w:rPr>
      </w:pPr>
      <w:r w:rsidRPr="00803469">
        <w:rPr>
          <w:rFonts w:cs="Times New Roman"/>
          <w:szCs w:val="24"/>
        </w:rPr>
        <w:t xml:space="preserve">In tale circostanza, la Corte faceva applicazione degli stessi principi statuiti con la sentenza n. 85/2013 in base ai quali il legislatore, pur in presenza di sequestri dell’autorità giudiziaria, può intervenire per consentire la prosecuzione dell’attività in stabilimenti di interesse strategico nazionale, ma a condizione che vengano tenute in adeguata considerazione, e tra loro bilanciate, sia le esigenze di tutela dell’ambiente, della salute e dell’incolumità dei lavoratori, sia le esigenze dell’iniziativa economica; nell’occasione più risalente, la Corte aveva ritenuto che tali principi fossero stati rispettati, nel più recente caso, culminato con la pronuncia del marzo 2018, il Giudice delle leggi finiva per ritenere, al contrario, che il legislatore avesse unicamente privilegiato le esigenze dell’iniziativa economica e sacrificato completamente la tutela, oltre che dell’incolumità e della salute dei lavoratori, persino della vita.  </w:t>
      </w:r>
    </w:p>
    <w:p w:rsidR="00803469" w:rsidRPr="00803469" w:rsidRDefault="00803469" w:rsidP="00803469">
      <w:pPr>
        <w:rPr>
          <w:rFonts w:cs="Times New Roman"/>
          <w:szCs w:val="24"/>
        </w:rPr>
      </w:pPr>
    </w:p>
    <w:p w:rsidR="00803469" w:rsidRPr="00803469" w:rsidRDefault="00803469" w:rsidP="00803469">
      <w:pPr>
        <w:jc w:val="center"/>
        <w:rPr>
          <w:rFonts w:cs="Times New Roman"/>
          <w:b/>
          <w:szCs w:val="24"/>
        </w:rPr>
      </w:pPr>
      <w:r w:rsidRPr="00803469">
        <w:rPr>
          <w:rFonts w:cs="Times New Roman"/>
          <w:b/>
          <w:szCs w:val="24"/>
        </w:rPr>
        <w:t>Relazione Tecnica</w:t>
      </w:r>
    </w:p>
    <w:p w:rsidR="00803469" w:rsidRPr="00803469" w:rsidRDefault="00803469" w:rsidP="00803469">
      <w:pPr>
        <w:rPr>
          <w:rFonts w:cs="Times New Roman"/>
          <w:szCs w:val="24"/>
        </w:rPr>
      </w:pPr>
      <w:r w:rsidRPr="00803469">
        <w:rPr>
          <w:rFonts w:cs="Times New Roman"/>
          <w:szCs w:val="24"/>
        </w:rPr>
        <w:t>Le disposizioni di cui al presente articolo non comportano nuovi o maggiori oneri a carico dell’erario.</w:t>
      </w:r>
    </w:p>
    <w:p w:rsidR="00803469" w:rsidRDefault="00803469" w:rsidP="00FC3039">
      <w:pPr>
        <w:rPr>
          <w:sz w:val="20"/>
          <w:lang w:eastAsia="it-IT"/>
        </w:rPr>
      </w:pPr>
    </w:p>
    <w:p w:rsidR="00656E4F" w:rsidRPr="00840C04" w:rsidRDefault="00656E4F" w:rsidP="00656E4F">
      <w:pPr>
        <w:pStyle w:val="Titolo2"/>
        <w:rPr>
          <w:smallCaps/>
        </w:rPr>
      </w:pPr>
      <w:bookmarkStart w:id="85" w:name="_Toc6937378"/>
      <w:r w:rsidRPr="0078344B">
        <w:t>A</w:t>
      </w:r>
      <w:r w:rsidR="0078344B" w:rsidRPr="0078344B">
        <w:t xml:space="preserve">rticolo </w:t>
      </w:r>
      <w:r w:rsidRPr="0078344B">
        <w:t>47</w:t>
      </w:r>
      <w:r>
        <w:rPr>
          <w:smallCaps/>
        </w:rPr>
        <w:br/>
        <w:t>A</w:t>
      </w:r>
      <w:r w:rsidRPr="00840C04">
        <w:t>lte professionalitá esclusivamente tecniche per opere pubbliche, gare e contratti</w:t>
      </w:r>
      <w:bookmarkEnd w:id="85"/>
    </w:p>
    <w:p w:rsidR="00656E4F" w:rsidRDefault="00656E4F" w:rsidP="00F279CC">
      <w:pPr>
        <w:rPr>
          <w:color w:val="auto"/>
        </w:rPr>
      </w:pPr>
      <w:r>
        <w:t xml:space="preserve">1. </w:t>
      </w:r>
      <w:r w:rsidRPr="00840C04">
        <w:t>Al fine di consentire il più celere ed efficace svolgimento dei compiti dei Provveditorati interregionali alle opere pubbliche del Ministero delle infrastrutture e dei trasporti, è autorizzata, in deroga alle previsioni di cui all’articolo 1, comma 399, primo periodo, della legge 30 dicembre 2018, n. 145, l’assunzione a tempo indeterminato, a partire dal 1°</w:t>
      </w:r>
      <w:r w:rsidRPr="00656E4F">
        <w:rPr>
          <w:color w:val="auto"/>
        </w:rPr>
        <w:t>dicembre</w:t>
      </w:r>
      <w:r w:rsidRPr="00840C04">
        <w:t xml:space="preserve">  2019, di cento unità di personale di alta specializzazione ed elevata professionalità, da individuare tra ingegneri, architetti e geologi e, nella misura del venti per cento, di personale amministrativo, da inquadrare nel</w:t>
      </w:r>
      <w:r w:rsidRPr="00840C04">
        <w:rPr>
          <w:color w:val="FF0000"/>
        </w:rPr>
        <w:t xml:space="preserve"> </w:t>
      </w:r>
      <w:r w:rsidRPr="00840C04">
        <w:t>livello iniziale dell’Area III del comparto delle funzioni centrali, con contestuale incremento della dotazione organica del Ministero delle infrastrutture e dei trasporti. Con decreto del Ministero delle infrastrutture e dei trasporti, di concerto con il Ministro per la pubblica amministrazione, da adottarsi entro trenta giorni dalla pubblicazione del presente decreto, sono definiti gli specifici requisiti di cui il personale deve essere in possesso. Ai fini dell’espletamento delle procedure concorsuali per l’individuazione del personale di cui al comma 1,</w:t>
      </w:r>
      <w:r w:rsidRPr="00840C04">
        <w:rPr>
          <w:color w:val="FF0000"/>
        </w:rPr>
        <w:t xml:space="preserve"> </w:t>
      </w:r>
      <w:r w:rsidRPr="00840C04">
        <w:t>effettuate in deroga alle procedure di mobilità di cui all’articolo 30 del decreto legislativo 30 marzo 2001, n. 165, si procede nelle forme del concorso unico di cui all'articolo 4, comma 3-quinquies, del decreto-legge 31 agosto 2013, n. 101, convertito, con modificazioni, dalla legge 30 ottobre 2013, n. 125 e all’articolo 35 del medesimo decreto legislativo n. 165 del 2001, mediante richiesta alla Presidenza del Consiglio dei ministri, Dipartimento della funzione pubblica, che provvede al loro svolgimento secondo le modalità previste dal decreto di cui all’articolo 1, comma 300, della legge 30 dicembre 2018, n. 145. Per le procedure concorsuali bandite anteriormente all’entrata in vigore del decreto di cui al precedente periodo, la Presidenza del Consiglio dei ministri, Dipartimento della funzione pubblica, provvede al loro svolgimento con modalità semplificate, anche in deroga alla disciplina prevista dal decreto del Presidente della Repubblica 9 maggio 1994, n. 487, per quanto concerne in particolare:  a) la nomina e la composizione della commissione d’esame, prevedendo la costituzione di sottocommissioni anche per le prove scritte e stabilendo che a ciascuna delle sottocommissioni non può essere assegnato un numero di candidati inferiore a duecentocinquanta; b) la tipologia e le modalità di svolgimento delle prove di esame, prevedendo:  1) la facoltà di far precedere le prove di esame da una prova preselettiva, qualora le domande di partecipazione al concorso siano in numero superiore a due volte il numero dei posti banditi; 2) la possibilità di svolgere prove preselettive consistenti nella risoluzione di quesiti a risposta multipla, gestite con l’ausilio di enti o istituti specializzati pubblici e privati e con possibilità di predisposizione dei quesiti da parte degli stessi. Agli oneri per le assunzioni di cui al presente articolo,</w:t>
      </w:r>
      <w:r w:rsidR="00F279CC">
        <w:t xml:space="preserve"> </w:t>
      </w:r>
      <w:r w:rsidRPr="00F279CC">
        <w:rPr>
          <w:color w:val="auto"/>
        </w:rPr>
        <w:t xml:space="preserve">pari a euro 324.000 per l’anno 2019 e pari a euro 3.890.000 a decorrere dall’anno 2020 si provvede, ai sensi dell’articolo ZZ (articolo di copertura). </w:t>
      </w:r>
    </w:p>
    <w:p w:rsidR="00F279CC" w:rsidRDefault="00F279CC" w:rsidP="00F279CC">
      <w:pPr>
        <w:rPr>
          <w:color w:val="auto"/>
        </w:rPr>
      </w:pPr>
    </w:p>
    <w:p w:rsidR="0078344B" w:rsidRPr="0078344B" w:rsidRDefault="0078344B" w:rsidP="0078344B">
      <w:pPr>
        <w:jc w:val="center"/>
        <w:rPr>
          <w:rFonts w:cs="Times New Roman"/>
          <w:b/>
        </w:rPr>
      </w:pPr>
      <w:r w:rsidRPr="0078344B">
        <w:rPr>
          <w:rFonts w:eastAsia="Times New Roman" w:cs="Times New Roman"/>
          <w:b/>
        </w:rPr>
        <w:t>Relazione illustrativa</w:t>
      </w:r>
    </w:p>
    <w:p w:rsidR="0078344B" w:rsidRPr="003A4460" w:rsidRDefault="0078344B" w:rsidP="0078344B">
      <w:pPr>
        <w:rPr>
          <w:rFonts w:eastAsia="Times New Roman" w:cs="Times New Roman"/>
        </w:rPr>
      </w:pPr>
      <w:r w:rsidRPr="003A4460">
        <w:rPr>
          <w:rFonts w:eastAsia="Times New Roman" w:cs="Times New Roman"/>
          <w:iCs/>
        </w:rPr>
        <w:t>L’emendamento individua una misura concreta per sbloccare cantieri non operativi e dare slancio forte e spinta propulsiva all’avanzamento delle opere pubbliche: l’assunzione  di personale di alta professionalità tecnica ( ma anche giuridica) da assegnare con urgenza nei Provveditorati interregionali alle Opere Pubbliche. Questi sono uffici decentrati del Ministero delle infrastrutture e dei trasporti che svolgono compiti fondamentali in materia di programmazione, progettazione realizzazione delle opere pubbliche, puntuali e infrastrutturali. I provveditorati interregionali alle OOPP sono per legge stazione unica appaltante delle amministrazioni centrali e locali (art. 38 del Codice appalti). Le delicate e importanti funzioni ad essi attribuite, in particolare, dal decreto legislativo 300/1999, dal DPCM 72/2014 e dal DM 346/2014 non possono essere compiutamente svolte senza adeguate risorse umane.</w:t>
      </w:r>
    </w:p>
    <w:p w:rsidR="0078344B" w:rsidRPr="003A4460" w:rsidRDefault="0078344B" w:rsidP="0078344B">
      <w:pPr>
        <w:rPr>
          <w:rFonts w:eastAsia="Times New Roman" w:cs="Times New Roman"/>
        </w:rPr>
      </w:pPr>
      <w:r w:rsidRPr="003A4460">
        <w:rPr>
          <w:rFonts w:eastAsia="Times New Roman" w:cs="Times New Roman"/>
          <w:iCs/>
        </w:rPr>
        <w:t>Si prevede l’assunzione di 80 unitá di elevata professionalitá tecnica, nei settori dell’ingegneria (stradale, strutturale, edile e idraulica - no meccanica perché già autorizzate 148 assunzioni per le motorizzazioni) e dell’architettura e della geologia, oltre a 20 giuristi, esperti di gare e contratti pubblici, per accelerare l’affidamento di gare e sbloccare risorse e cantieri. Si intende assegnare a ciascun Provveditorato n. 3 elevate professionalitá amministrative (n. 2 nel Provoper Piemonte/Liguria) e n. 12 elevate professionalitá tecniche (n. 14 per il Provveditorato di Roma). La misura compensa parzialmente il blocco del turnover degli ultimi anni che ha depauperato di risorse adeguate queste strutture fondamentali per il rilancio concreto delle infrastrutture del Paese. Dovranno tutti possedere “alta specializzazione” ossia laurea specialistica e “elevata professionalitá “ ossia esperienza certificata nel settore di riferimento, per almeno un anno. Per i tecnici, é richiesta l’iscrizione all’albo professionale di riferimento. Per gli amministrativi, sarà possibile prevedere il possesso dell’abilitazione forense. Con decreto interministeriale MIT e Funzione pubblica da adottarsi entro 30 giorni dalla pubblicazione del presente decreto saranno definiti gli specifici requisiti da possedere, i livelli di ingresso, e modalità rapide di selezione improntate ai criteri suddetti. </w:t>
      </w:r>
    </w:p>
    <w:p w:rsidR="0078344B" w:rsidRPr="003A4460" w:rsidRDefault="0078344B" w:rsidP="0078344B">
      <w:pPr>
        <w:rPr>
          <w:rFonts w:eastAsia="Times New Roman" w:cs="Times New Roman"/>
        </w:rPr>
      </w:pPr>
      <w:r w:rsidRPr="003A4460">
        <w:rPr>
          <w:rFonts w:eastAsia="Times New Roman" w:cs="Times New Roman"/>
          <w:iCs/>
        </w:rPr>
        <w:t>Si rendono necessarie, per l’urgenza e la strategicitá del ruolo, procedure snelle, semplificate, serie ed efficaci. In particolare, si prevede di svolgere procedure di assunzione in deroga alla disciplina della mobilitâ, ma non anche alla procedura del concorso unico.</w:t>
      </w:r>
    </w:p>
    <w:p w:rsidR="0078344B" w:rsidRPr="003A4460" w:rsidRDefault="0078344B" w:rsidP="0078344B">
      <w:pPr>
        <w:rPr>
          <w:rFonts w:eastAsia="Times New Roman" w:cs="Times New Roman"/>
        </w:rPr>
      </w:pPr>
      <w:r w:rsidRPr="003A4460">
        <w:rPr>
          <w:rFonts w:eastAsia="Times New Roman" w:cs="Times New Roman"/>
          <w:iCs/>
        </w:rPr>
        <w:t>É prevista, infatti, la procedura di cui all’articolo. 1 comma300 della Legge finanziaria per l’anno 2019, che recita:”</w:t>
      </w:r>
      <w:r w:rsidRPr="003A4460">
        <w:rPr>
          <w:rFonts w:eastAsia="Times New Roman" w:cs="Times New Roman"/>
        </w:rPr>
        <w:t>300. Fatta salva l'esigenza di professionalita' aventi competenze di spiccata specificita' e fermo quanto previsto per il reclutamento del personale di cui alla lettera a) del comma 313 e di cui al comma 335, le procedure concorsuali autorizzate a valere sulle risorse del fondo di cui all'articolo 1, comma 365, lettera b), della legge 11 dicembre 2016, n. 232, come rifinanziato ai sensi del comma 298 del presente articolo, sono svolte, secondo le indicazioni dei piani di fabbisogno di ciascuna amministrazione, mediante concorsi pubblici unici, per esami o per titoli ed esami, in relazione a figure professionali omogenee. I predetti concorsi unici sono organizzati dal Dipartimento della funzione pubblica della Presidenza del Consiglio dei ministri per il tramite della Commissione per l'attuazione del Progetto di Riqualificazione delle Pubbliche Amministrazioni (RIPAM), di cui al decreto interministeriale 25 luglio 1994, che si avvale dell'Associazione Formez PA, e possono essere espletati con modalita' semplificate definite con decreto del Ministro per la pubblica amministrazione da adottare, ai sensi dell'articolo 17, comma 3, della legge 23 agosto 1988, n. 400, entro due mesi dalla data di entrata in vigore della presente legge, anche in deroga alla disciplina prevista dai regolamenti di cui al decreto del Presidente della Repubblica 9 maggio 1994, n. 487, al decreto del Presidente della Repubblica 24 settembre 2004, n. 272, e al decreto del Presidente della Repubblica 16 aprile 2013, n. 70. Le procedure concorsuali e le conseguenti assunzioni, finanziate con le risorse del fondo di cui all'articolo 1, comma 365, lettera b), della legge 11 dicembre 2016, n. 232, come rifinanziato ai sensi del comma 298 del presente articolo, sono effettuate senza il previo svolgimento delle procedure previste dall'articolo 30 del decreto legislativo 30 marzo 2001, n. 165.”</w:t>
      </w:r>
    </w:p>
    <w:p w:rsidR="0078344B" w:rsidRPr="003A4460" w:rsidRDefault="0078344B" w:rsidP="0078344B">
      <w:pPr>
        <w:pStyle w:val="PreformattatoHTML"/>
        <w:jc w:val="both"/>
        <w:rPr>
          <w:rFonts w:ascii="Times New Roman" w:hAnsi="Times New Roman" w:cs="Times New Roman"/>
          <w:sz w:val="22"/>
          <w:szCs w:val="22"/>
        </w:rPr>
      </w:pPr>
      <w:r w:rsidRPr="003A4460">
        <w:rPr>
          <w:rFonts w:ascii="Times New Roman" w:hAnsi="Times New Roman" w:cs="Times New Roman"/>
          <w:sz w:val="22"/>
          <w:szCs w:val="22"/>
        </w:rPr>
        <w:t>È altresì prevista una procedura semplificata nelle more dell’emanazione del decreto di cui al riportato comma 300, e precisamente una procedura che preveda: </w:t>
      </w:r>
      <w:r w:rsidRPr="003A4460">
        <w:rPr>
          <w:rStyle w:val="s2"/>
          <w:rFonts w:ascii="Times New Roman" w:hAnsi="Times New Roman" w:cs="Times New Roman"/>
          <w:sz w:val="22"/>
          <w:szCs w:val="22"/>
        </w:rPr>
        <w:t>a) la nomina e la composizione della commissione d’esame, prevedendo la costituzione di sottocommissioni anche per le prove scritte e stabilendo che a ciascuna delle sottocommissioni non può essere assegnato un numero di candidati inferiore a duecentocinquanta; b) la tipologia e le modalità di svolgimento delle prove di esame, prevedendo: 1) la facoltà di far precedere le prove di esame da una prova preselettiva, qualora le domande di partecipazione al concorso siano in numero superiore a due volte il numero dei posti banditi; 2) la possibilità di svolgere prove preselettive consistenti nella risoluzione di quesiti a risposta multipla, gestite con l’ausilio di enti o istituti specializzati pubblici e privati e con possibilità di predisposizione dei quesiti da parte degli stessi.</w:t>
      </w:r>
    </w:p>
    <w:p w:rsidR="00F279CC" w:rsidRDefault="0078344B" w:rsidP="0078344B">
      <w:pPr>
        <w:rPr>
          <w:rFonts w:eastAsia="Times New Roman" w:cs="Times New Roman"/>
          <w:iCs/>
        </w:rPr>
      </w:pPr>
      <w:r w:rsidRPr="003A4460">
        <w:rPr>
          <w:rFonts w:eastAsia="Times New Roman" w:cs="Times New Roman"/>
          <w:iCs/>
        </w:rPr>
        <w:t xml:space="preserve">L’urgenza di avvalersi di detto personale é connessa anche ai </w:t>
      </w:r>
      <w:r>
        <w:rPr>
          <w:rFonts w:eastAsia="Times New Roman" w:cs="Times New Roman"/>
          <w:iCs/>
        </w:rPr>
        <w:t xml:space="preserve">prossimi massicci collocamenti </w:t>
      </w:r>
      <w:r w:rsidRPr="003A4460">
        <w:rPr>
          <w:rFonts w:eastAsia="Times New Roman" w:cs="Times New Roman"/>
          <w:iCs/>
        </w:rPr>
        <w:t>a riposo di molteplici unitá di personale di Area terza nei Provveditorati, per cui é divenuto impellente un passaggio di consegne attraverso la trasmissione dell’esperienza acquisita sul campo.</w:t>
      </w:r>
    </w:p>
    <w:p w:rsidR="00C7236E" w:rsidRDefault="00C7236E" w:rsidP="0078344B">
      <w:pPr>
        <w:rPr>
          <w:rFonts w:eastAsia="Times New Roman" w:cs="Times New Roman"/>
          <w:iCs/>
        </w:rPr>
      </w:pPr>
    </w:p>
    <w:p w:rsidR="00C7236E" w:rsidRDefault="00C7236E" w:rsidP="00C7236E">
      <w:pPr>
        <w:pStyle w:val="Titolo2"/>
      </w:pPr>
      <w:bookmarkStart w:id="86" w:name="_Toc6937379"/>
      <w:r w:rsidRPr="00C7236E">
        <w:rPr>
          <w:highlight w:val="yellow"/>
        </w:rPr>
        <w:t>Articolo 48</w:t>
      </w:r>
      <w:r w:rsidRPr="00C7236E">
        <w:rPr>
          <w:highlight w:val="yellow"/>
        </w:rPr>
        <w:br/>
        <w:t>(Disposizioni urgenti in materia di infrastrutture)</w:t>
      </w:r>
      <w:bookmarkEnd w:id="86"/>
    </w:p>
    <w:p w:rsidR="003F1ED3" w:rsidRPr="003F1ED3" w:rsidRDefault="003F1ED3" w:rsidP="003F1ED3">
      <w:pPr>
        <w:rPr>
          <w:rFonts w:cs="Times New Roman"/>
        </w:rPr>
      </w:pPr>
      <w:r w:rsidRPr="003F1ED3">
        <w:rPr>
          <w:rFonts w:cs="Times New Roman"/>
        </w:rPr>
        <w:t>1. In considerazione della straordinaria necessità ed urgenza di assicurare la celere cantierizzazione delle opere pubbliche, in un quadro ordinamentale che assicuri le disponibilità in bilancio delle risorse stanziate per infrastrutture per un arco temporale adeguato alla tempistica dello stato avanzamento lavori, e nelle more dell’istituzione presso il Ministero delle infrastrutture e dei trasporti di un’apposita struttura incaricata della programmazione e della gestione del bilancio del Ministero, da costituire nell’ambito della riorganizzazione del Ministero di cui……(DPCM) il cui termine di adozione, a tal fine, è prorogato al 31 dicembre 2019, è istituita, a decorrere dal 1° settembre 2019, la società per azioni denominata «Funzione Infrastrutture Italia – F.In.Italia s.p.a.», con capitale sociale pari a euro 10.000.000,00 interamente detenuto dal Ministero dell’economia e delle finanze, su cui il Ministero delle infrastrutture e dei trasporti esercita il controllo di cui all’articolo 16 del decreto legislativo 19 agosto 2016, n. 175.</w:t>
      </w:r>
      <w:r w:rsidRPr="003F1ED3">
        <w:rPr>
          <w:rFonts w:eastAsiaTheme="minorEastAsia" w:cs="Times New Roman"/>
          <w:sz w:val="26"/>
          <w:szCs w:val="26"/>
          <w:lang w:eastAsia="it-IT"/>
        </w:rPr>
        <w:t xml:space="preserve"> </w:t>
      </w:r>
      <w:r w:rsidRPr="003F1ED3">
        <w:rPr>
          <w:rFonts w:cs="Times New Roman"/>
        </w:rPr>
        <w:t xml:space="preserve">La società ha per oggetto il supporto tecnico-amministrativo alle direzioni generali in materia di programmi d’intervento, di procedure ad evidenza pubblica, di procedure amministrativo-contabili e di cantierizzazione delle opere pubbliche, nonché la gestione delle correlate risorse per la realizzazione di infrastrutture e opere pubbliche di competenza del Ministero delle infrastrutture e dei trasporti - Dipartimento Infrastrutture, secondo le puntuali disposizioni impartite dalle direzioni generali stesse. La società gestisce le risorse quale funzionario delegato di contabilità ordinaria ai sensi dell’articolo 44-ter, comma 8, della legge 31 dicembre 2009, n.196. Resta ferma la necessità della predisposizione del cronoprogramma degli impegni e dei pagamenti per ciascuna opera da parte delle Direzioni generali del Ministero. Con decreto del Presidente della Repubblica, su proposta del Ministro delle infrastrutture e dei trasporti, sono adottati lo Statuto e il regolamento interno della società e sono nominati i componenti del Consiglio di Amministrazione e del Collegio sindacale. Il Ministro delle infrastrutture e dei trasporti designa il Consiglio di Amministrazione. La società può avvalersi di personale in comando o distacco dalle pubbliche amministrazioni, anche ad ordinamento autonomo, e può stipulare contratti di lavoro a tempo determinato, nel rispetto della disciplina applicabile, con esperti di elevata professionalità nelle materie oggetto d’intervento della società, scelti sulla base di procedura comparativa previa pubblicazione dell’avviso di selezione sul sito </w:t>
      </w:r>
      <w:r w:rsidRPr="003F1ED3">
        <w:rPr>
          <w:rFonts w:cs="Times New Roman"/>
          <w:i/>
        </w:rPr>
        <w:t>internet</w:t>
      </w:r>
      <w:r w:rsidRPr="003F1ED3">
        <w:rPr>
          <w:rFonts w:cs="Times New Roman"/>
        </w:rPr>
        <w:t xml:space="preserve"> della Società per almeno 10 giorni naturali e consecutivi. La società si scioglie di diritto al 31 dicembre 2022; la procedura di liquidazione termina entro il mese di aprile 2023. Le direzioni generali del Ministero delle infrastrutture e dei trasporti sono autorizzate ad avvalersi direttamente di F.In.Italia s.p.a.</w:t>
      </w:r>
    </w:p>
    <w:p w:rsidR="003F1ED3" w:rsidRPr="003F1ED3" w:rsidRDefault="003F1ED3" w:rsidP="003F1ED3">
      <w:pPr>
        <w:rPr>
          <w:rFonts w:cs="Times New Roman"/>
        </w:rPr>
      </w:pPr>
      <w:r w:rsidRPr="003F1ED3">
        <w:rPr>
          <w:rFonts w:cs="Times New Roman"/>
        </w:rPr>
        <w:t xml:space="preserve">2. Agli oneri derivanti dall’attuazione del comma 1 pari a dieci milioni di euro, si provvede mediante utilizzo dell'autorizzazione di spesa, per l’anno 2019, di cui all'articolo 1, comma 95, della legge 30 dicembre 2018, n. 145, da imputarsi sulla quota parte del fondo attribuita al Ministero delle infrastrutture e dei trasporti. </w:t>
      </w:r>
    </w:p>
    <w:p w:rsidR="003F1ED3" w:rsidRPr="003F1ED3" w:rsidRDefault="003F1ED3" w:rsidP="003F1ED3">
      <w:pPr>
        <w:rPr>
          <w:rFonts w:cs="Times New Roman"/>
        </w:rPr>
      </w:pPr>
      <w:r w:rsidRPr="003F1ED3">
        <w:rPr>
          <w:rFonts w:cs="Times New Roman"/>
        </w:rPr>
        <w:t>3. Agli oneri derivanti dalla sottoscrizione di apposito contratto di servizio (o convenzione) tra il Ministero e F.In.Italia s.p.a., per le attività da essa svolte a favore delle Direzioni generali, pari a</w:t>
      </w:r>
      <w:r w:rsidRPr="003F1ED3">
        <w:t xml:space="preserve"> </w:t>
      </w:r>
      <w:r w:rsidRPr="003F1ED3">
        <w:rPr>
          <w:rFonts w:cs="Times New Roman"/>
        </w:rPr>
        <w:t xml:space="preserve">1.000.000 di euro, per l’anno 2019, di euro 2.000.000 di euro annui per ciascuno degli anni 2020, 2021 e 2022, e di 1.500.000 di euro per l’anno 2023, si provvede mediante ……..(verificare formulazione copertura).  </w:t>
      </w:r>
    </w:p>
    <w:p w:rsidR="003F1ED3" w:rsidRPr="003F1ED3" w:rsidRDefault="003F1ED3" w:rsidP="003F1ED3">
      <w:pPr>
        <w:rPr>
          <w:rFonts w:cs="Times New Roman"/>
        </w:rPr>
      </w:pPr>
      <w:r w:rsidRPr="003F1ED3">
        <w:rPr>
          <w:rFonts w:cs="Times New Roman"/>
        </w:rPr>
        <w:t>4. Al fine di consentire l’attuazione di quanto previsto dal comma 1, primo periodo, per le spese destinate a infrastrutture relativamente ai Dipartimenti……….. iscritte sullo stato di previsione del Ministero delle infrastrutture e dei trasporti, i termini di cui ai commi 3, primo periodo, e 4, primo periodo, dell’art. 34-</w:t>
      </w:r>
      <w:r w:rsidRPr="003F1ED3">
        <w:rPr>
          <w:rFonts w:cs="Times New Roman"/>
          <w:i/>
        </w:rPr>
        <w:t>bis</w:t>
      </w:r>
      <w:r w:rsidRPr="003F1ED3">
        <w:rPr>
          <w:rFonts w:cs="Times New Roman"/>
        </w:rPr>
        <w:t xml:space="preserve"> della legge 31 dicembre 2009, n. 196, come modificato dall’art. 6 del decreto legislativo 12 maggio 2016, n. 93 (</w:t>
      </w:r>
      <w:r w:rsidRPr="003F1ED3">
        <w:rPr>
          <w:rFonts w:cs="Times New Roman"/>
          <w:i/>
        </w:rPr>
        <w:t>Riordino della disciplina per la gestione del bilancio e il potenziamento della funzione del bilancio di cassa, in attuazione dell'articolo 42, comma 1, della legge 31 dicembre 2009, n. 196</w:t>
      </w:r>
      <w:r w:rsidRPr="003F1ED3">
        <w:rPr>
          <w:rFonts w:cs="Times New Roman"/>
        </w:rPr>
        <w:t>), sono prolungati, fino all’esercizio 2023, rispettivamente di un ulteriore anno e di ulteriori tre anni.</w:t>
      </w:r>
    </w:p>
    <w:p w:rsidR="003F1ED3" w:rsidRPr="003F1ED3" w:rsidRDefault="003F1ED3" w:rsidP="003F1ED3">
      <w:pPr>
        <w:rPr>
          <w:lang w:eastAsia="it-IT"/>
        </w:rPr>
      </w:pPr>
      <w:r w:rsidRPr="003F1ED3">
        <w:rPr>
          <w:rFonts w:cs="Times New Roman"/>
        </w:rPr>
        <w:t>5. Il Ministro dell’economia e delle finanze è autorizzato ad apportare le occorrenti variazioni di bilancio necessarie per l’immediata attuazione del presente articolo.</w:t>
      </w:r>
    </w:p>
    <w:sectPr w:rsidR="003F1ED3" w:rsidRPr="003F1ED3" w:rsidSect="003A1C14">
      <w:headerReference w:type="default" r:id="rId14"/>
      <w:footerReference w:type="default" r:id="rId15"/>
      <w:pgSz w:w="11906" w:h="16838"/>
      <w:pgMar w:top="1417" w:right="99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D39" w:rsidRDefault="00C73D39" w:rsidP="0079036E">
      <w:r>
        <w:separator/>
      </w:r>
    </w:p>
  </w:endnote>
  <w:endnote w:type="continuationSeparator" w:id="0">
    <w:p w:rsidR="00C73D39" w:rsidRDefault="00C73D39" w:rsidP="0079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¹Å">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itillium Web">
    <w:altName w:val="Times New Roman"/>
    <w:charset w:val="00"/>
    <w:family w:val="auto"/>
    <w:pitch w:val="default"/>
  </w:font>
  <w:font w:name="Sylfaen">
    <w:panose1 w:val="010A0502050306030303"/>
    <w:charset w:val="00"/>
    <w:family w:val="roman"/>
    <w:notTrueType/>
    <w:pitch w:val="variable"/>
    <w:sig w:usb0="00C00283" w:usb1="00000000" w:usb2="00000000" w:usb3="00000000" w:csb0="0000000D" w:csb1="00000000"/>
  </w:font>
  <w:font w:name="Book Antiqua">
    <w:panose1 w:val="02040602050305030304"/>
    <w:charset w:val="00"/>
    <w:family w:val="roman"/>
    <w:pitch w:val="variable"/>
    <w:sig w:usb0="00000287" w:usb1="00000000" w:usb2="00000000" w:usb3="00000000" w:csb0="0000009F" w:csb1="00000000"/>
  </w:font>
  <w:font w:name="EUAlbertina">
    <w:altName w:val="Times New Roman"/>
    <w:charset w:val="00"/>
    <w:family w:val="auto"/>
    <w:pitch w:val="default"/>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693318"/>
      <w:docPartObj>
        <w:docPartGallery w:val="Page Numbers (Bottom of Page)"/>
        <w:docPartUnique/>
      </w:docPartObj>
    </w:sdtPr>
    <w:sdtEndPr/>
    <w:sdtContent>
      <w:p w:rsidR="003F1ED3" w:rsidRDefault="003F1ED3">
        <w:pPr>
          <w:pStyle w:val="Pidipagina"/>
          <w:jc w:val="right"/>
        </w:pPr>
        <w:r>
          <w:fldChar w:fldCharType="begin"/>
        </w:r>
        <w:r>
          <w:instrText>PAGE   \* MERGEFORMAT</w:instrText>
        </w:r>
        <w:r>
          <w:fldChar w:fldCharType="separate"/>
        </w:r>
        <w:r w:rsidR="00386F68">
          <w:rPr>
            <w:noProof/>
          </w:rPr>
          <w:t>36</w:t>
        </w:r>
        <w:r>
          <w:fldChar w:fldCharType="end"/>
        </w:r>
      </w:p>
    </w:sdtContent>
  </w:sdt>
  <w:p w:rsidR="003F1ED3" w:rsidRDefault="003F1ED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D39" w:rsidRDefault="00C73D39" w:rsidP="0079036E">
      <w:r>
        <w:separator/>
      </w:r>
    </w:p>
  </w:footnote>
  <w:footnote w:type="continuationSeparator" w:id="0">
    <w:p w:rsidR="00C73D39" w:rsidRDefault="00C73D39" w:rsidP="0079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D3" w:rsidRPr="00C57672" w:rsidRDefault="003F1ED3" w:rsidP="00F530CF">
    <w:pPr>
      <w:pStyle w:val="Intestazione"/>
      <w:tabs>
        <w:tab w:val="clear" w:pos="4819"/>
        <w:tab w:val="clear" w:pos="9638"/>
        <w:tab w:val="right" w:pos="14287"/>
      </w:tabs>
      <w:rPr>
        <w:rFonts w:cs="Times New Roman"/>
      </w:rPr>
    </w:pPr>
    <w:r>
      <w:t xml:space="preserve">23 aprile 2019 ore </w:t>
    </w:r>
    <w:r w:rsidR="00CB2AB4">
      <w:t>18.40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94AA73C"/>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6D7992"/>
    <w:multiLevelType w:val="hybridMultilevel"/>
    <w:tmpl w:val="61125B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947E8E"/>
    <w:multiLevelType w:val="hybridMultilevel"/>
    <w:tmpl w:val="EA8485A6"/>
    <w:lvl w:ilvl="0" w:tplc="0410000F">
      <w:start w:val="1"/>
      <w:numFmt w:val="decimal"/>
      <w:lvlText w:val="%1."/>
      <w:lvlJc w:val="left"/>
      <w:pPr>
        <w:ind w:left="360" w:hanging="360"/>
      </w:pPr>
    </w:lvl>
    <w:lvl w:ilvl="1" w:tplc="04100017">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
    <w:nsid w:val="05E70D88"/>
    <w:multiLevelType w:val="hybridMultilevel"/>
    <w:tmpl w:val="3B8A6D38"/>
    <w:lvl w:ilvl="0" w:tplc="F3F6D6A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68970F3"/>
    <w:multiLevelType w:val="hybridMultilevel"/>
    <w:tmpl w:val="F88CB1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7BB5063"/>
    <w:multiLevelType w:val="hybridMultilevel"/>
    <w:tmpl w:val="4D52D84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092E4BFB"/>
    <w:multiLevelType w:val="hybridMultilevel"/>
    <w:tmpl w:val="CC382A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93E46CB"/>
    <w:multiLevelType w:val="hybridMultilevel"/>
    <w:tmpl w:val="510EFAF2"/>
    <w:lvl w:ilvl="0" w:tplc="1F88FABA">
      <w:start w:val="1"/>
      <w:numFmt w:val="bullet"/>
      <w:lvlText w:val="-"/>
      <w:lvlJc w:val="left"/>
      <w:pPr>
        <w:ind w:left="720" w:hanging="360"/>
      </w:pPr>
      <w:rPr>
        <w:rFonts w:ascii="Times New Roman" w:eastAsiaTheme="minorHAnsi" w:hAnsi="Times New Roman" w:cs="Times New Roman" w:hint="default"/>
      </w:rPr>
    </w:lvl>
    <w:lvl w:ilvl="1" w:tplc="A6383818">
      <w:start w:val="13"/>
      <w:numFmt w:val="bullet"/>
      <w:lvlText w:val="•"/>
      <w:lvlJc w:val="left"/>
      <w:pPr>
        <w:ind w:left="1950" w:hanging="87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A0B7E4A"/>
    <w:multiLevelType w:val="hybridMultilevel"/>
    <w:tmpl w:val="104A2CAE"/>
    <w:lvl w:ilvl="0" w:tplc="68F2885E">
      <w:start w:val="1"/>
      <w:numFmt w:val="lowerLetter"/>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9">
    <w:nsid w:val="0C9A15BB"/>
    <w:multiLevelType w:val="hybridMultilevel"/>
    <w:tmpl w:val="C43CEC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3E9129A"/>
    <w:multiLevelType w:val="hybridMultilevel"/>
    <w:tmpl w:val="935A87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6E86DCB"/>
    <w:multiLevelType w:val="hybridMultilevel"/>
    <w:tmpl w:val="B9FEDC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193C39CC"/>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9E63078"/>
    <w:multiLevelType w:val="hybridMultilevel"/>
    <w:tmpl w:val="4E546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BFB34A0"/>
    <w:multiLevelType w:val="multilevel"/>
    <w:tmpl w:val="FFFFFFFF"/>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nsid w:val="20B45033"/>
    <w:multiLevelType w:val="multilevel"/>
    <w:tmpl w:val="FFFFFFFF"/>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nsid w:val="278C5456"/>
    <w:multiLevelType w:val="hybridMultilevel"/>
    <w:tmpl w:val="EA8485A6"/>
    <w:lvl w:ilvl="0" w:tplc="0410000F">
      <w:start w:val="1"/>
      <w:numFmt w:val="decimal"/>
      <w:lvlText w:val="%1."/>
      <w:lvlJc w:val="left"/>
      <w:pPr>
        <w:ind w:left="360" w:hanging="360"/>
      </w:pPr>
    </w:lvl>
    <w:lvl w:ilvl="1" w:tplc="04100017">
      <w:start w:val="1"/>
      <w:numFmt w:val="lowerLetter"/>
      <w:lvlText w:val="%2)"/>
      <w:lvlJc w:val="left"/>
      <w:pPr>
        <w:ind w:left="36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7">
    <w:nsid w:val="299F6075"/>
    <w:multiLevelType w:val="hybridMultilevel"/>
    <w:tmpl w:val="20C45CFE"/>
    <w:lvl w:ilvl="0" w:tplc="E74AC726">
      <w:start w:val="1"/>
      <w:numFmt w:val="lowerLetter"/>
      <w:lvlText w:val="%1)"/>
      <w:lvlJc w:val="left"/>
      <w:pPr>
        <w:ind w:left="360" w:hanging="360"/>
      </w:pPr>
      <w:rPr>
        <w:rFonts w:ascii="Times New Roman" w:hAnsi="Times New Roman" w:cs="Times New Roman" w:hint="default"/>
        <w:b w:val="0"/>
        <w: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2F947ED9"/>
    <w:multiLevelType w:val="hybridMultilevel"/>
    <w:tmpl w:val="5600A6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2D12E88"/>
    <w:multiLevelType w:val="hybridMultilevel"/>
    <w:tmpl w:val="1D8624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4556981"/>
    <w:multiLevelType w:val="multilevel"/>
    <w:tmpl w:val="FFFFFFFF"/>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nsid w:val="37E9252F"/>
    <w:multiLevelType w:val="hybridMultilevel"/>
    <w:tmpl w:val="FFFFFFFF"/>
    <w:styleLink w:val="Stileimportato2"/>
    <w:lvl w:ilvl="0" w:tplc="49B4FF20">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5A0494">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2046CC">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B0F1E0">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1EC6D4">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26C382">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9C3C12">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A2E068">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0A363A">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38263E21"/>
    <w:multiLevelType w:val="hybridMultilevel"/>
    <w:tmpl w:val="6B787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C984583"/>
    <w:multiLevelType w:val="hybridMultilevel"/>
    <w:tmpl w:val="A8E2864E"/>
    <w:lvl w:ilvl="0" w:tplc="3B42A3D4">
      <w:start w:val="12"/>
      <w:numFmt w:val="lowerLetter"/>
      <w:lvlText w:val="%1)"/>
      <w:lvlJc w:val="left"/>
      <w:pPr>
        <w:ind w:left="1211" w:hanging="360"/>
      </w:pPr>
      <w:rPr>
        <w:rFonts w:hint="default"/>
      </w:rPr>
    </w:lvl>
    <w:lvl w:ilvl="1" w:tplc="04100019">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4">
    <w:nsid w:val="40A40F03"/>
    <w:multiLevelType w:val="hybridMultilevel"/>
    <w:tmpl w:val="FFFFFFFF"/>
    <w:styleLink w:val="Stileimportato1"/>
    <w:lvl w:ilvl="0" w:tplc="38D22D80">
      <w:start w:val="1"/>
      <w:numFmt w:val="bullet"/>
      <w:lvlText w:val="·"/>
      <w:lvlJc w:val="left"/>
      <w:pPr>
        <w:tabs>
          <w:tab w:val="num" w:pos="2138"/>
        </w:tabs>
        <w:ind w:left="1429" w:firstLine="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5CB680">
      <w:start w:val="1"/>
      <w:numFmt w:val="bullet"/>
      <w:lvlText w:val="o"/>
      <w:lvlJc w:val="left"/>
      <w:pPr>
        <w:tabs>
          <w:tab w:val="num" w:pos="2858"/>
        </w:tabs>
        <w:ind w:left="2149" w:firstLine="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104E18">
      <w:start w:val="1"/>
      <w:numFmt w:val="bullet"/>
      <w:lvlText w:val="▪"/>
      <w:lvlJc w:val="left"/>
      <w:pPr>
        <w:tabs>
          <w:tab w:val="num" w:pos="3578"/>
        </w:tabs>
        <w:ind w:left="2869" w:firstLine="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9C2570">
      <w:start w:val="1"/>
      <w:numFmt w:val="bullet"/>
      <w:lvlText w:val="·"/>
      <w:lvlJc w:val="left"/>
      <w:pPr>
        <w:tabs>
          <w:tab w:val="num" w:pos="4298"/>
        </w:tabs>
        <w:ind w:left="3589" w:firstLine="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8A09E8">
      <w:start w:val="1"/>
      <w:numFmt w:val="bullet"/>
      <w:lvlText w:val="o"/>
      <w:lvlJc w:val="left"/>
      <w:pPr>
        <w:tabs>
          <w:tab w:val="num" w:pos="5018"/>
        </w:tabs>
        <w:ind w:left="4309" w:firstLine="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D085A2">
      <w:start w:val="1"/>
      <w:numFmt w:val="bullet"/>
      <w:lvlText w:val="▪"/>
      <w:lvlJc w:val="left"/>
      <w:pPr>
        <w:tabs>
          <w:tab w:val="num" w:pos="5738"/>
        </w:tabs>
        <w:ind w:left="5029" w:firstLine="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88C44C">
      <w:start w:val="1"/>
      <w:numFmt w:val="bullet"/>
      <w:lvlText w:val="·"/>
      <w:lvlJc w:val="left"/>
      <w:pPr>
        <w:tabs>
          <w:tab w:val="num" w:pos="6458"/>
        </w:tabs>
        <w:ind w:left="5749" w:firstLine="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26C39A">
      <w:start w:val="1"/>
      <w:numFmt w:val="bullet"/>
      <w:lvlText w:val="o"/>
      <w:lvlJc w:val="left"/>
      <w:pPr>
        <w:tabs>
          <w:tab w:val="num" w:pos="7178"/>
        </w:tabs>
        <w:ind w:left="6469" w:firstLine="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022BBE">
      <w:start w:val="1"/>
      <w:numFmt w:val="bullet"/>
      <w:lvlText w:val="▪"/>
      <w:lvlJc w:val="left"/>
      <w:pPr>
        <w:tabs>
          <w:tab w:val="num" w:pos="7898"/>
        </w:tabs>
        <w:ind w:left="7189" w:firstLine="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434B478E"/>
    <w:multiLevelType w:val="hybridMultilevel"/>
    <w:tmpl w:val="87BE019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63C2B9D"/>
    <w:multiLevelType w:val="hybridMultilevel"/>
    <w:tmpl w:val="CAC697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746062C"/>
    <w:multiLevelType w:val="hybridMultilevel"/>
    <w:tmpl w:val="FFE8FFC0"/>
    <w:lvl w:ilvl="0" w:tplc="04100017">
      <w:start w:val="1"/>
      <w:numFmt w:val="lowerLetter"/>
      <w:lvlText w:val="%1)"/>
      <w:lvlJc w:val="left"/>
      <w:pPr>
        <w:ind w:left="777" w:hanging="360"/>
      </w:p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28">
    <w:nsid w:val="494C3D38"/>
    <w:multiLevelType w:val="hybridMultilevel"/>
    <w:tmpl w:val="89CA9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D03598"/>
    <w:multiLevelType w:val="hybridMultilevel"/>
    <w:tmpl w:val="B80890C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32E5EAA"/>
    <w:multiLevelType w:val="hybridMultilevel"/>
    <w:tmpl w:val="B10810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4882026"/>
    <w:multiLevelType w:val="hybridMultilevel"/>
    <w:tmpl w:val="FFB8E932"/>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2">
    <w:nsid w:val="5C475706"/>
    <w:multiLevelType w:val="hybridMultilevel"/>
    <w:tmpl w:val="FF08841E"/>
    <w:lvl w:ilvl="0" w:tplc="9E6C2BDC">
      <w:start w:val="1"/>
      <w:numFmt w:val="lowerLetter"/>
      <w:lvlText w:val="%1)"/>
      <w:lvlJc w:val="left"/>
      <w:pPr>
        <w:ind w:left="36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627D1B12"/>
    <w:multiLevelType w:val="hybridMultilevel"/>
    <w:tmpl w:val="83327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3672942"/>
    <w:multiLevelType w:val="hybridMultilevel"/>
    <w:tmpl w:val="14486D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3947A2A"/>
    <w:multiLevelType w:val="hybridMultilevel"/>
    <w:tmpl w:val="03AA12A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nsid w:val="654433EF"/>
    <w:multiLevelType w:val="hybridMultilevel"/>
    <w:tmpl w:val="397EEEF2"/>
    <w:lvl w:ilvl="0" w:tplc="0410000F">
      <w:start w:val="1"/>
      <w:numFmt w:val="decimal"/>
      <w:lvlText w:val="%1."/>
      <w:lvlJc w:val="left"/>
      <w:pPr>
        <w:ind w:left="360" w:hanging="360"/>
      </w:pPr>
    </w:lvl>
    <w:lvl w:ilvl="1" w:tplc="04100017">
      <w:start w:val="1"/>
      <w:numFmt w:val="lowerLetter"/>
      <w:lvlText w:val="%2)"/>
      <w:lvlJc w:val="left"/>
      <w:pPr>
        <w:ind w:left="1080" w:hanging="360"/>
      </w:pPr>
    </w:lvl>
    <w:lvl w:ilvl="2" w:tplc="04100011">
      <w:start w:val="1"/>
      <w:numFmt w:val="decimal"/>
      <w:lvlText w:val="%3)"/>
      <w:lvlJc w:val="lef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7">
    <w:nsid w:val="6C5B22FF"/>
    <w:multiLevelType w:val="hybridMultilevel"/>
    <w:tmpl w:val="D17AD6D6"/>
    <w:lvl w:ilvl="0" w:tplc="04100017">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8">
    <w:nsid w:val="6D006747"/>
    <w:multiLevelType w:val="hybridMultilevel"/>
    <w:tmpl w:val="CBE2396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nsid w:val="7127370D"/>
    <w:multiLevelType w:val="multilevel"/>
    <w:tmpl w:val="FFFFFFFF"/>
    <w:lvl w:ilvl="0">
      <w:start w:val="1"/>
      <w:numFmt w:val="lowerLetter"/>
      <w:lvlText w:val="%1)"/>
      <w:lvlJc w:val="left"/>
      <w:pPr>
        <w:ind w:left="927"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713A077C"/>
    <w:multiLevelType w:val="hybridMultilevel"/>
    <w:tmpl w:val="C0900EE8"/>
    <w:lvl w:ilvl="0" w:tplc="088AF94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8E7099D"/>
    <w:multiLevelType w:val="hybridMultilevel"/>
    <w:tmpl w:val="5002D0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9B432ED"/>
    <w:multiLevelType w:val="hybridMultilevel"/>
    <w:tmpl w:val="E7B6D9FC"/>
    <w:lvl w:ilvl="0" w:tplc="B57834D8">
      <w:start w:val="1"/>
      <w:numFmt w:val="lowerLetter"/>
      <w:lvlText w:val="%1)"/>
      <w:lvlJc w:val="left"/>
      <w:pPr>
        <w:ind w:left="720" w:hanging="360"/>
      </w:pPr>
      <w:rPr>
        <w:rFonts w:ascii="Times New Roman" w:hAnsi="Times New Roman" w:cs="Times New Roman" w:hint="default"/>
        <w:i/>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5"/>
  </w:num>
  <w:num w:numId="4">
    <w:abstractNumId w:val="7"/>
  </w:num>
  <w:num w:numId="5">
    <w:abstractNumId w:val="23"/>
  </w:num>
  <w:num w:numId="6">
    <w:abstractNumId w:val="42"/>
  </w:num>
  <w:num w:numId="7">
    <w:abstractNumId w:val="17"/>
  </w:num>
  <w:num w:numId="8">
    <w:abstractNumId w:val="2"/>
  </w:num>
  <w:num w:numId="9">
    <w:abstractNumId w:val="16"/>
  </w:num>
  <w:num w:numId="10">
    <w:abstractNumId w:val="6"/>
  </w:num>
  <w:num w:numId="11">
    <w:abstractNumId w:val="19"/>
  </w:num>
  <w:num w:numId="12">
    <w:abstractNumId w:val="30"/>
  </w:num>
  <w:num w:numId="13">
    <w:abstractNumId w:val="24"/>
  </w:num>
  <w:num w:numId="14">
    <w:abstractNumId w:val="21"/>
  </w:num>
  <w:num w:numId="15">
    <w:abstractNumId w:val="13"/>
  </w:num>
  <w:num w:numId="16">
    <w:abstractNumId w:val="22"/>
  </w:num>
  <w:num w:numId="17">
    <w:abstractNumId w:val="31"/>
  </w:num>
  <w:num w:numId="18">
    <w:abstractNumId w:val="10"/>
  </w:num>
  <w:num w:numId="19">
    <w:abstractNumId w:val="1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41"/>
  </w:num>
  <w:num w:numId="23">
    <w:abstractNumId w:val="35"/>
  </w:num>
  <w:num w:numId="24">
    <w:abstractNumId w:val="3"/>
  </w:num>
  <w:num w:numId="25">
    <w:abstractNumId w:val="15"/>
  </w:num>
  <w:num w:numId="26">
    <w:abstractNumId w:val="39"/>
  </w:num>
  <w:num w:numId="27">
    <w:abstractNumId w:val="12"/>
  </w:num>
  <w:num w:numId="28">
    <w:abstractNumId w:val="14"/>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4"/>
  </w:num>
  <w:num w:numId="33">
    <w:abstractNumId w:val="18"/>
  </w:num>
  <w:num w:numId="34">
    <w:abstractNumId w:val="9"/>
  </w:num>
  <w:num w:numId="35">
    <w:abstractNumId w:val="29"/>
  </w:num>
  <w:num w:numId="36">
    <w:abstractNumId w:val="32"/>
  </w:num>
  <w:num w:numId="37">
    <w:abstractNumId w:val="37"/>
  </w:num>
  <w:num w:numId="38">
    <w:abstractNumId w:val="4"/>
  </w:num>
  <w:num w:numId="39">
    <w:abstractNumId w:val="27"/>
  </w:num>
  <w:num w:numId="40">
    <w:abstractNumId w:val="29"/>
    <w:lvlOverride w:ilvl="0">
      <w:lvl w:ilvl="0" w:tplc="0410000F">
        <w:start w:val="1"/>
        <w:numFmt w:val="decimal"/>
        <w:lvlText w:val="%1."/>
        <w:lvlJc w:val="left"/>
        <w:pPr>
          <w:tabs>
            <w:tab w:val="num" w:pos="720"/>
          </w:tabs>
          <w:ind w:left="720" w:hanging="360"/>
        </w:pPr>
        <w:rPr>
          <w:rFonts w:hint="default"/>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41">
    <w:abstractNumId w:val="38"/>
  </w:num>
  <w:num w:numId="42">
    <w:abstractNumId w:val="40"/>
  </w:num>
  <w:num w:numId="43">
    <w:abstractNumId w:val="33"/>
  </w:num>
  <w:num w:numId="44">
    <w:abstractNumId w:val="1"/>
  </w:num>
  <w:num w:numId="45">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oNotDisplayPageBoundaries/>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9B"/>
    <w:rsid w:val="00002520"/>
    <w:rsid w:val="000028F1"/>
    <w:rsid w:val="0000434F"/>
    <w:rsid w:val="000048A8"/>
    <w:rsid w:val="00005546"/>
    <w:rsid w:val="00006077"/>
    <w:rsid w:val="000063E5"/>
    <w:rsid w:val="00007485"/>
    <w:rsid w:val="00007903"/>
    <w:rsid w:val="0001178E"/>
    <w:rsid w:val="00011C3F"/>
    <w:rsid w:val="00012370"/>
    <w:rsid w:val="000139C0"/>
    <w:rsid w:val="00013ACC"/>
    <w:rsid w:val="000161C9"/>
    <w:rsid w:val="00016522"/>
    <w:rsid w:val="00016EFA"/>
    <w:rsid w:val="0001794C"/>
    <w:rsid w:val="000220EA"/>
    <w:rsid w:val="00024411"/>
    <w:rsid w:val="0002502E"/>
    <w:rsid w:val="00025586"/>
    <w:rsid w:val="00025AD9"/>
    <w:rsid w:val="000305C8"/>
    <w:rsid w:val="00033738"/>
    <w:rsid w:val="000338C5"/>
    <w:rsid w:val="00035B0F"/>
    <w:rsid w:val="00035C41"/>
    <w:rsid w:val="0003658C"/>
    <w:rsid w:val="00036F36"/>
    <w:rsid w:val="00037486"/>
    <w:rsid w:val="00037645"/>
    <w:rsid w:val="00037B8D"/>
    <w:rsid w:val="000405C6"/>
    <w:rsid w:val="0004064B"/>
    <w:rsid w:val="00043DA5"/>
    <w:rsid w:val="000442CC"/>
    <w:rsid w:val="00044C4F"/>
    <w:rsid w:val="00044F29"/>
    <w:rsid w:val="0004520E"/>
    <w:rsid w:val="00045659"/>
    <w:rsid w:val="00045DC2"/>
    <w:rsid w:val="000503E2"/>
    <w:rsid w:val="00050872"/>
    <w:rsid w:val="000517B2"/>
    <w:rsid w:val="00051A68"/>
    <w:rsid w:val="00052076"/>
    <w:rsid w:val="0005251C"/>
    <w:rsid w:val="0005323B"/>
    <w:rsid w:val="00053876"/>
    <w:rsid w:val="00054229"/>
    <w:rsid w:val="00054B67"/>
    <w:rsid w:val="00054BA1"/>
    <w:rsid w:val="00054EA7"/>
    <w:rsid w:val="00056C3C"/>
    <w:rsid w:val="00062C2F"/>
    <w:rsid w:val="00062E7F"/>
    <w:rsid w:val="00065B52"/>
    <w:rsid w:val="0006693C"/>
    <w:rsid w:val="0006704D"/>
    <w:rsid w:val="00070FBF"/>
    <w:rsid w:val="00071822"/>
    <w:rsid w:val="00072084"/>
    <w:rsid w:val="000723FC"/>
    <w:rsid w:val="0007497D"/>
    <w:rsid w:val="000754D7"/>
    <w:rsid w:val="00075B35"/>
    <w:rsid w:val="0007645A"/>
    <w:rsid w:val="000777F9"/>
    <w:rsid w:val="000802D0"/>
    <w:rsid w:val="00081ADE"/>
    <w:rsid w:val="00081E8F"/>
    <w:rsid w:val="00083E79"/>
    <w:rsid w:val="00084D99"/>
    <w:rsid w:val="00084F4C"/>
    <w:rsid w:val="00084FD3"/>
    <w:rsid w:val="0008572C"/>
    <w:rsid w:val="00086204"/>
    <w:rsid w:val="000866CF"/>
    <w:rsid w:val="00086731"/>
    <w:rsid w:val="00086F88"/>
    <w:rsid w:val="000908A6"/>
    <w:rsid w:val="00090C0F"/>
    <w:rsid w:val="00090F26"/>
    <w:rsid w:val="00091C49"/>
    <w:rsid w:val="00094376"/>
    <w:rsid w:val="00096C45"/>
    <w:rsid w:val="0009778A"/>
    <w:rsid w:val="00097F76"/>
    <w:rsid w:val="000A1ACD"/>
    <w:rsid w:val="000A1D29"/>
    <w:rsid w:val="000A35B1"/>
    <w:rsid w:val="000A4053"/>
    <w:rsid w:val="000A4406"/>
    <w:rsid w:val="000A4763"/>
    <w:rsid w:val="000A5282"/>
    <w:rsid w:val="000B1724"/>
    <w:rsid w:val="000B2A70"/>
    <w:rsid w:val="000B2F07"/>
    <w:rsid w:val="000B3E7A"/>
    <w:rsid w:val="000B5EC5"/>
    <w:rsid w:val="000B6976"/>
    <w:rsid w:val="000B69BE"/>
    <w:rsid w:val="000C0986"/>
    <w:rsid w:val="000C0AAA"/>
    <w:rsid w:val="000C126C"/>
    <w:rsid w:val="000C1408"/>
    <w:rsid w:val="000C1FC1"/>
    <w:rsid w:val="000C30E5"/>
    <w:rsid w:val="000C3F5C"/>
    <w:rsid w:val="000C558C"/>
    <w:rsid w:val="000D2663"/>
    <w:rsid w:val="000D33B7"/>
    <w:rsid w:val="000D33D4"/>
    <w:rsid w:val="000D37C5"/>
    <w:rsid w:val="000D46F5"/>
    <w:rsid w:val="000D500E"/>
    <w:rsid w:val="000D509D"/>
    <w:rsid w:val="000D5C96"/>
    <w:rsid w:val="000D61B6"/>
    <w:rsid w:val="000E0626"/>
    <w:rsid w:val="000E1B31"/>
    <w:rsid w:val="000E1EDB"/>
    <w:rsid w:val="000E2D32"/>
    <w:rsid w:val="000E47B7"/>
    <w:rsid w:val="000E5653"/>
    <w:rsid w:val="000E60B7"/>
    <w:rsid w:val="000E6231"/>
    <w:rsid w:val="000E65E7"/>
    <w:rsid w:val="000E6796"/>
    <w:rsid w:val="000E7C86"/>
    <w:rsid w:val="000F0E89"/>
    <w:rsid w:val="000F26F5"/>
    <w:rsid w:val="000F28E6"/>
    <w:rsid w:val="000F2A81"/>
    <w:rsid w:val="000F3A4F"/>
    <w:rsid w:val="000F42AE"/>
    <w:rsid w:val="000F4329"/>
    <w:rsid w:val="000F6308"/>
    <w:rsid w:val="000F643D"/>
    <w:rsid w:val="000F6923"/>
    <w:rsid w:val="000F7EEA"/>
    <w:rsid w:val="00100A9C"/>
    <w:rsid w:val="00101087"/>
    <w:rsid w:val="00101D7F"/>
    <w:rsid w:val="001033F5"/>
    <w:rsid w:val="00103C8E"/>
    <w:rsid w:val="00104663"/>
    <w:rsid w:val="0010468B"/>
    <w:rsid w:val="00105EEC"/>
    <w:rsid w:val="00106D48"/>
    <w:rsid w:val="00110497"/>
    <w:rsid w:val="00110B44"/>
    <w:rsid w:val="001110FD"/>
    <w:rsid w:val="001121D7"/>
    <w:rsid w:val="00113DF9"/>
    <w:rsid w:val="00114A28"/>
    <w:rsid w:val="00114BBC"/>
    <w:rsid w:val="00114C33"/>
    <w:rsid w:val="00115C0E"/>
    <w:rsid w:val="00116069"/>
    <w:rsid w:val="00116BBC"/>
    <w:rsid w:val="00117060"/>
    <w:rsid w:val="00120D49"/>
    <w:rsid w:val="00120DF4"/>
    <w:rsid w:val="00121298"/>
    <w:rsid w:val="00123C01"/>
    <w:rsid w:val="0012428A"/>
    <w:rsid w:val="001251E9"/>
    <w:rsid w:val="001255AC"/>
    <w:rsid w:val="00125762"/>
    <w:rsid w:val="0012598D"/>
    <w:rsid w:val="00126220"/>
    <w:rsid w:val="0012689D"/>
    <w:rsid w:val="00126C26"/>
    <w:rsid w:val="00126C86"/>
    <w:rsid w:val="00127CF3"/>
    <w:rsid w:val="0013050E"/>
    <w:rsid w:val="00130BBD"/>
    <w:rsid w:val="00133D93"/>
    <w:rsid w:val="001351A9"/>
    <w:rsid w:val="00135AA5"/>
    <w:rsid w:val="00135E2F"/>
    <w:rsid w:val="00136241"/>
    <w:rsid w:val="001365C1"/>
    <w:rsid w:val="00136D31"/>
    <w:rsid w:val="00137B04"/>
    <w:rsid w:val="00137C83"/>
    <w:rsid w:val="00141740"/>
    <w:rsid w:val="00143863"/>
    <w:rsid w:val="0014496A"/>
    <w:rsid w:val="00144BD5"/>
    <w:rsid w:val="0014663D"/>
    <w:rsid w:val="001467ED"/>
    <w:rsid w:val="0014694B"/>
    <w:rsid w:val="001479D2"/>
    <w:rsid w:val="00147B21"/>
    <w:rsid w:val="00152D53"/>
    <w:rsid w:val="001540C7"/>
    <w:rsid w:val="001545FE"/>
    <w:rsid w:val="00154DD3"/>
    <w:rsid w:val="001560AC"/>
    <w:rsid w:val="00156CD6"/>
    <w:rsid w:val="001572AD"/>
    <w:rsid w:val="00160687"/>
    <w:rsid w:val="001614B1"/>
    <w:rsid w:val="001619DA"/>
    <w:rsid w:val="00161A84"/>
    <w:rsid w:val="00162B2C"/>
    <w:rsid w:val="001643E0"/>
    <w:rsid w:val="00164704"/>
    <w:rsid w:val="0016503D"/>
    <w:rsid w:val="00165B9C"/>
    <w:rsid w:val="00165E9F"/>
    <w:rsid w:val="0016732E"/>
    <w:rsid w:val="00167C5C"/>
    <w:rsid w:val="00167C64"/>
    <w:rsid w:val="001704DB"/>
    <w:rsid w:val="001712F4"/>
    <w:rsid w:val="00171482"/>
    <w:rsid w:val="00173006"/>
    <w:rsid w:val="001739C1"/>
    <w:rsid w:val="001740B7"/>
    <w:rsid w:val="0017417F"/>
    <w:rsid w:val="00174249"/>
    <w:rsid w:val="00174B06"/>
    <w:rsid w:val="0017588C"/>
    <w:rsid w:val="00175B6E"/>
    <w:rsid w:val="00176075"/>
    <w:rsid w:val="0017616B"/>
    <w:rsid w:val="001761A0"/>
    <w:rsid w:val="00177328"/>
    <w:rsid w:val="001779C3"/>
    <w:rsid w:val="00177F2E"/>
    <w:rsid w:val="0018259E"/>
    <w:rsid w:val="0018368E"/>
    <w:rsid w:val="00183A9A"/>
    <w:rsid w:val="00184D5C"/>
    <w:rsid w:val="0018535C"/>
    <w:rsid w:val="00185DF7"/>
    <w:rsid w:val="001864F4"/>
    <w:rsid w:val="0018659B"/>
    <w:rsid w:val="001866B0"/>
    <w:rsid w:val="0019047C"/>
    <w:rsid w:val="00190566"/>
    <w:rsid w:val="00190CEB"/>
    <w:rsid w:val="00195C42"/>
    <w:rsid w:val="00196CAE"/>
    <w:rsid w:val="001A0624"/>
    <w:rsid w:val="001A2FE3"/>
    <w:rsid w:val="001A30B7"/>
    <w:rsid w:val="001A3D11"/>
    <w:rsid w:val="001A4C38"/>
    <w:rsid w:val="001A5BB4"/>
    <w:rsid w:val="001A721C"/>
    <w:rsid w:val="001A7254"/>
    <w:rsid w:val="001B0F47"/>
    <w:rsid w:val="001B2D98"/>
    <w:rsid w:val="001B3DF7"/>
    <w:rsid w:val="001B4E08"/>
    <w:rsid w:val="001B51F5"/>
    <w:rsid w:val="001B6D7B"/>
    <w:rsid w:val="001C0D43"/>
    <w:rsid w:val="001C0EFC"/>
    <w:rsid w:val="001C1E58"/>
    <w:rsid w:val="001C3197"/>
    <w:rsid w:val="001C39FA"/>
    <w:rsid w:val="001C3CA1"/>
    <w:rsid w:val="001C42C3"/>
    <w:rsid w:val="001C4372"/>
    <w:rsid w:val="001C4D38"/>
    <w:rsid w:val="001C4D83"/>
    <w:rsid w:val="001C56E2"/>
    <w:rsid w:val="001C60B0"/>
    <w:rsid w:val="001C7D7D"/>
    <w:rsid w:val="001D16CC"/>
    <w:rsid w:val="001D32B4"/>
    <w:rsid w:val="001D3704"/>
    <w:rsid w:val="001D4508"/>
    <w:rsid w:val="001D7148"/>
    <w:rsid w:val="001E1001"/>
    <w:rsid w:val="001E1A69"/>
    <w:rsid w:val="001E1C30"/>
    <w:rsid w:val="001E1E18"/>
    <w:rsid w:val="001E1F9E"/>
    <w:rsid w:val="001E2F66"/>
    <w:rsid w:val="001E4649"/>
    <w:rsid w:val="001E49EF"/>
    <w:rsid w:val="001E5AF2"/>
    <w:rsid w:val="001F04CF"/>
    <w:rsid w:val="001F3B39"/>
    <w:rsid w:val="001F4C14"/>
    <w:rsid w:val="001F5A5E"/>
    <w:rsid w:val="001F6BE3"/>
    <w:rsid w:val="001F7115"/>
    <w:rsid w:val="001F747D"/>
    <w:rsid w:val="001F7F8D"/>
    <w:rsid w:val="0020070F"/>
    <w:rsid w:val="002028F9"/>
    <w:rsid w:val="00202BC0"/>
    <w:rsid w:val="00203C12"/>
    <w:rsid w:val="00204D2D"/>
    <w:rsid w:val="002055B4"/>
    <w:rsid w:val="00206D83"/>
    <w:rsid w:val="00206DA4"/>
    <w:rsid w:val="00206F2A"/>
    <w:rsid w:val="0020785F"/>
    <w:rsid w:val="002078A3"/>
    <w:rsid w:val="00207DC0"/>
    <w:rsid w:val="002100B6"/>
    <w:rsid w:val="00210B8E"/>
    <w:rsid w:val="00212A0C"/>
    <w:rsid w:val="002136D4"/>
    <w:rsid w:val="0021371D"/>
    <w:rsid w:val="00213758"/>
    <w:rsid w:val="00214BDB"/>
    <w:rsid w:val="00214FA3"/>
    <w:rsid w:val="00216855"/>
    <w:rsid w:val="00221356"/>
    <w:rsid w:val="002214FE"/>
    <w:rsid w:val="0022433F"/>
    <w:rsid w:val="00224979"/>
    <w:rsid w:val="002251B8"/>
    <w:rsid w:val="0022572D"/>
    <w:rsid w:val="00226319"/>
    <w:rsid w:val="00226CF4"/>
    <w:rsid w:val="00226EC8"/>
    <w:rsid w:val="002279E2"/>
    <w:rsid w:val="00230608"/>
    <w:rsid w:val="00230B06"/>
    <w:rsid w:val="002328E0"/>
    <w:rsid w:val="00232A60"/>
    <w:rsid w:val="00233D44"/>
    <w:rsid w:val="002366B8"/>
    <w:rsid w:val="00237196"/>
    <w:rsid w:val="00237595"/>
    <w:rsid w:val="002375C2"/>
    <w:rsid w:val="002404DA"/>
    <w:rsid w:val="0024091C"/>
    <w:rsid w:val="0024187C"/>
    <w:rsid w:val="002433C7"/>
    <w:rsid w:val="00243939"/>
    <w:rsid w:val="00243FF3"/>
    <w:rsid w:val="002441A3"/>
    <w:rsid w:val="002444DE"/>
    <w:rsid w:val="00244A55"/>
    <w:rsid w:val="00245957"/>
    <w:rsid w:val="00245FF9"/>
    <w:rsid w:val="002475BF"/>
    <w:rsid w:val="00247E67"/>
    <w:rsid w:val="0025062B"/>
    <w:rsid w:val="00251A41"/>
    <w:rsid w:val="00251DE9"/>
    <w:rsid w:val="00253732"/>
    <w:rsid w:val="00254BFE"/>
    <w:rsid w:val="00255DA1"/>
    <w:rsid w:val="00255E5D"/>
    <w:rsid w:val="002560AF"/>
    <w:rsid w:val="00256841"/>
    <w:rsid w:val="00257386"/>
    <w:rsid w:val="002575B7"/>
    <w:rsid w:val="002579C2"/>
    <w:rsid w:val="0026018B"/>
    <w:rsid w:val="0026159F"/>
    <w:rsid w:val="002617EC"/>
    <w:rsid w:val="00261F53"/>
    <w:rsid w:val="002639B9"/>
    <w:rsid w:val="00263F04"/>
    <w:rsid w:val="00263F1E"/>
    <w:rsid w:val="00263F47"/>
    <w:rsid w:val="00264A0C"/>
    <w:rsid w:val="00265AB2"/>
    <w:rsid w:val="00266AED"/>
    <w:rsid w:val="002700F4"/>
    <w:rsid w:val="00270EED"/>
    <w:rsid w:val="002712CC"/>
    <w:rsid w:val="00275B9A"/>
    <w:rsid w:val="00276560"/>
    <w:rsid w:val="00277111"/>
    <w:rsid w:val="00281451"/>
    <w:rsid w:val="002814B6"/>
    <w:rsid w:val="00281D3E"/>
    <w:rsid w:val="00283007"/>
    <w:rsid w:val="00284C79"/>
    <w:rsid w:val="00285117"/>
    <w:rsid w:val="00285165"/>
    <w:rsid w:val="00286488"/>
    <w:rsid w:val="00286E12"/>
    <w:rsid w:val="00290324"/>
    <w:rsid w:val="00292001"/>
    <w:rsid w:val="00292DFE"/>
    <w:rsid w:val="00292F70"/>
    <w:rsid w:val="002A072C"/>
    <w:rsid w:val="002A0D74"/>
    <w:rsid w:val="002A1591"/>
    <w:rsid w:val="002A2119"/>
    <w:rsid w:val="002A2AA0"/>
    <w:rsid w:val="002A3B49"/>
    <w:rsid w:val="002A4BF8"/>
    <w:rsid w:val="002A634A"/>
    <w:rsid w:val="002A7459"/>
    <w:rsid w:val="002A7E0B"/>
    <w:rsid w:val="002B0F86"/>
    <w:rsid w:val="002B16C4"/>
    <w:rsid w:val="002B19DC"/>
    <w:rsid w:val="002B4BCD"/>
    <w:rsid w:val="002B529C"/>
    <w:rsid w:val="002B6104"/>
    <w:rsid w:val="002B646E"/>
    <w:rsid w:val="002B7284"/>
    <w:rsid w:val="002C0DC8"/>
    <w:rsid w:val="002C2408"/>
    <w:rsid w:val="002C2E38"/>
    <w:rsid w:val="002C3F30"/>
    <w:rsid w:val="002C4A5F"/>
    <w:rsid w:val="002C64DA"/>
    <w:rsid w:val="002D27BF"/>
    <w:rsid w:val="002D2D3C"/>
    <w:rsid w:val="002D2D5E"/>
    <w:rsid w:val="002D2FF6"/>
    <w:rsid w:val="002D356A"/>
    <w:rsid w:val="002D3656"/>
    <w:rsid w:val="002D4890"/>
    <w:rsid w:val="002D6352"/>
    <w:rsid w:val="002D6A8A"/>
    <w:rsid w:val="002D78E4"/>
    <w:rsid w:val="002E1C54"/>
    <w:rsid w:val="002E3B33"/>
    <w:rsid w:val="002E430E"/>
    <w:rsid w:val="002E52F2"/>
    <w:rsid w:val="002E59F6"/>
    <w:rsid w:val="002E6452"/>
    <w:rsid w:val="002E6805"/>
    <w:rsid w:val="002E6E96"/>
    <w:rsid w:val="002E7339"/>
    <w:rsid w:val="002E7D39"/>
    <w:rsid w:val="002F05C0"/>
    <w:rsid w:val="002F22F5"/>
    <w:rsid w:val="002F28B8"/>
    <w:rsid w:val="002F4976"/>
    <w:rsid w:val="002F5637"/>
    <w:rsid w:val="002F5B74"/>
    <w:rsid w:val="002F62A2"/>
    <w:rsid w:val="00300F2C"/>
    <w:rsid w:val="0030187F"/>
    <w:rsid w:val="003022F1"/>
    <w:rsid w:val="00306F6C"/>
    <w:rsid w:val="00306FD7"/>
    <w:rsid w:val="00310654"/>
    <w:rsid w:val="00311C74"/>
    <w:rsid w:val="0031222D"/>
    <w:rsid w:val="00314CF3"/>
    <w:rsid w:val="003207BA"/>
    <w:rsid w:val="00320CAC"/>
    <w:rsid w:val="00322677"/>
    <w:rsid w:val="00322BF9"/>
    <w:rsid w:val="0032312F"/>
    <w:rsid w:val="0032315D"/>
    <w:rsid w:val="00323B06"/>
    <w:rsid w:val="00323C42"/>
    <w:rsid w:val="003241DC"/>
    <w:rsid w:val="00325341"/>
    <w:rsid w:val="003253C2"/>
    <w:rsid w:val="0032647D"/>
    <w:rsid w:val="0032722B"/>
    <w:rsid w:val="0032763C"/>
    <w:rsid w:val="00327C20"/>
    <w:rsid w:val="00330093"/>
    <w:rsid w:val="00330C74"/>
    <w:rsid w:val="00331327"/>
    <w:rsid w:val="00331618"/>
    <w:rsid w:val="00331637"/>
    <w:rsid w:val="00332C24"/>
    <w:rsid w:val="00334066"/>
    <w:rsid w:val="00336981"/>
    <w:rsid w:val="00341147"/>
    <w:rsid w:val="003414B1"/>
    <w:rsid w:val="0034235F"/>
    <w:rsid w:val="00342656"/>
    <w:rsid w:val="00347608"/>
    <w:rsid w:val="00351760"/>
    <w:rsid w:val="00351B22"/>
    <w:rsid w:val="0035253B"/>
    <w:rsid w:val="00352F94"/>
    <w:rsid w:val="00354AAB"/>
    <w:rsid w:val="00354F2B"/>
    <w:rsid w:val="00354F7F"/>
    <w:rsid w:val="0035518D"/>
    <w:rsid w:val="00355389"/>
    <w:rsid w:val="00356604"/>
    <w:rsid w:val="0036118E"/>
    <w:rsid w:val="003611AB"/>
    <w:rsid w:val="00361AD4"/>
    <w:rsid w:val="00362E51"/>
    <w:rsid w:val="00363018"/>
    <w:rsid w:val="003630B4"/>
    <w:rsid w:val="0036329F"/>
    <w:rsid w:val="00363D2C"/>
    <w:rsid w:val="0036423B"/>
    <w:rsid w:val="00364AFC"/>
    <w:rsid w:val="003654ED"/>
    <w:rsid w:val="003660F9"/>
    <w:rsid w:val="003667B2"/>
    <w:rsid w:val="00370B09"/>
    <w:rsid w:val="0037139D"/>
    <w:rsid w:val="00371EE5"/>
    <w:rsid w:val="003724ED"/>
    <w:rsid w:val="003728EA"/>
    <w:rsid w:val="00373369"/>
    <w:rsid w:val="003739C2"/>
    <w:rsid w:val="00373E6B"/>
    <w:rsid w:val="00374C1A"/>
    <w:rsid w:val="00374CD9"/>
    <w:rsid w:val="0037584D"/>
    <w:rsid w:val="003759C0"/>
    <w:rsid w:val="00375F9C"/>
    <w:rsid w:val="003761CF"/>
    <w:rsid w:val="0037690E"/>
    <w:rsid w:val="00376B25"/>
    <w:rsid w:val="00376D75"/>
    <w:rsid w:val="00380ACB"/>
    <w:rsid w:val="00382057"/>
    <w:rsid w:val="00383C52"/>
    <w:rsid w:val="00383FFE"/>
    <w:rsid w:val="00386F68"/>
    <w:rsid w:val="0039187C"/>
    <w:rsid w:val="00392310"/>
    <w:rsid w:val="0039267D"/>
    <w:rsid w:val="00393DC0"/>
    <w:rsid w:val="0039511E"/>
    <w:rsid w:val="003953BD"/>
    <w:rsid w:val="00395D0E"/>
    <w:rsid w:val="00395E1F"/>
    <w:rsid w:val="003962CB"/>
    <w:rsid w:val="0039672D"/>
    <w:rsid w:val="00396849"/>
    <w:rsid w:val="0039703C"/>
    <w:rsid w:val="003A0318"/>
    <w:rsid w:val="003A0AE7"/>
    <w:rsid w:val="003A15A7"/>
    <w:rsid w:val="003A1C14"/>
    <w:rsid w:val="003A24DA"/>
    <w:rsid w:val="003A275A"/>
    <w:rsid w:val="003A2BF5"/>
    <w:rsid w:val="003A2C24"/>
    <w:rsid w:val="003A33C8"/>
    <w:rsid w:val="003A414F"/>
    <w:rsid w:val="003A4DD4"/>
    <w:rsid w:val="003A5231"/>
    <w:rsid w:val="003A56AF"/>
    <w:rsid w:val="003A7629"/>
    <w:rsid w:val="003B00B7"/>
    <w:rsid w:val="003B0337"/>
    <w:rsid w:val="003B04D1"/>
    <w:rsid w:val="003B094E"/>
    <w:rsid w:val="003B1431"/>
    <w:rsid w:val="003B238E"/>
    <w:rsid w:val="003B24D3"/>
    <w:rsid w:val="003B550F"/>
    <w:rsid w:val="003B66F1"/>
    <w:rsid w:val="003B6FCC"/>
    <w:rsid w:val="003B7693"/>
    <w:rsid w:val="003C23D7"/>
    <w:rsid w:val="003C43C0"/>
    <w:rsid w:val="003C455E"/>
    <w:rsid w:val="003C5B8E"/>
    <w:rsid w:val="003C5FDE"/>
    <w:rsid w:val="003C7564"/>
    <w:rsid w:val="003C7FE8"/>
    <w:rsid w:val="003D04EE"/>
    <w:rsid w:val="003D0CBA"/>
    <w:rsid w:val="003D1633"/>
    <w:rsid w:val="003D1AD2"/>
    <w:rsid w:val="003D1E66"/>
    <w:rsid w:val="003D21F3"/>
    <w:rsid w:val="003D27C6"/>
    <w:rsid w:val="003D40E0"/>
    <w:rsid w:val="003D55BF"/>
    <w:rsid w:val="003D5DEC"/>
    <w:rsid w:val="003E0217"/>
    <w:rsid w:val="003E1C94"/>
    <w:rsid w:val="003E264D"/>
    <w:rsid w:val="003E3D11"/>
    <w:rsid w:val="003E58C4"/>
    <w:rsid w:val="003E59BF"/>
    <w:rsid w:val="003E633F"/>
    <w:rsid w:val="003E7333"/>
    <w:rsid w:val="003F16D2"/>
    <w:rsid w:val="003F1967"/>
    <w:rsid w:val="003F1ED3"/>
    <w:rsid w:val="003F25B0"/>
    <w:rsid w:val="003F3490"/>
    <w:rsid w:val="003F3A68"/>
    <w:rsid w:val="003F4E75"/>
    <w:rsid w:val="003F5C61"/>
    <w:rsid w:val="003F6BF3"/>
    <w:rsid w:val="003F7940"/>
    <w:rsid w:val="00401137"/>
    <w:rsid w:val="004016FE"/>
    <w:rsid w:val="00403561"/>
    <w:rsid w:val="004041F6"/>
    <w:rsid w:val="004051CE"/>
    <w:rsid w:val="0040556E"/>
    <w:rsid w:val="00405698"/>
    <w:rsid w:val="00410559"/>
    <w:rsid w:val="00411213"/>
    <w:rsid w:val="00411276"/>
    <w:rsid w:val="00411D9D"/>
    <w:rsid w:val="00412717"/>
    <w:rsid w:val="00414450"/>
    <w:rsid w:val="004151F8"/>
    <w:rsid w:val="00416F96"/>
    <w:rsid w:val="00417399"/>
    <w:rsid w:val="00420666"/>
    <w:rsid w:val="004206AC"/>
    <w:rsid w:val="004225B1"/>
    <w:rsid w:val="004251AA"/>
    <w:rsid w:val="0042553A"/>
    <w:rsid w:val="0042556A"/>
    <w:rsid w:val="00426401"/>
    <w:rsid w:val="0042641E"/>
    <w:rsid w:val="004269D6"/>
    <w:rsid w:val="00427569"/>
    <w:rsid w:val="00427F86"/>
    <w:rsid w:val="0043055A"/>
    <w:rsid w:val="00431327"/>
    <w:rsid w:val="00431AB3"/>
    <w:rsid w:val="00432CDB"/>
    <w:rsid w:val="004340C2"/>
    <w:rsid w:val="0043421C"/>
    <w:rsid w:val="004376BD"/>
    <w:rsid w:val="004413DF"/>
    <w:rsid w:val="004416FD"/>
    <w:rsid w:val="00441C99"/>
    <w:rsid w:val="00442DA8"/>
    <w:rsid w:val="00442F9B"/>
    <w:rsid w:val="00443669"/>
    <w:rsid w:val="00443C60"/>
    <w:rsid w:val="00445AC8"/>
    <w:rsid w:val="00445BEA"/>
    <w:rsid w:val="00446524"/>
    <w:rsid w:val="00447550"/>
    <w:rsid w:val="00450862"/>
    <w:rsid w:val="00452995"/>
    <w:rsid w:val="004545CB"/>
    <w:rsid w:val="00454998"/>
    <w:rsid w:val="00454E94"/>
    <w:rsid w:val="00455BED"/>
    <w:rsid w:val="004568A2"/>
    <w:rsid w:val="00456FCE"/>
    <w:rsid w:val="00461F4E"/>
    <w:rsid w:val="00462319"/>
    <w:rsid w:val="0046425E"/>
    <w:rsid w:val="00464F41"/>
    <w:rsid w:val="00465A71"/>
    <w:rsid w:val="004660F2"/>
    <w:rsid w:val="00471A0D"/>
    <w:rsid w:val="00471E4A"/>
    <w:rsid w:val="004721DF"/>
    <w:rsid w:val="00472554"/>
    <w:rsid w:val="00474AD6"/>
    <w:rsid w:val="00474DAC"/>
    <w:rsid w:val="00474FEC"/>
    <w:rsid w:val="0047581B"/>
    <w:rsid w:val="004779A0"/>
    <w:rsid w:val="00477A16"/>
    <w:rsid w:val="004800DB"/>
    <w:rsid w:val="00480A18"/>
    <w:rsid w:val="00480B8B"/>
    <w:rsid w:val="00480F0D"/>
    <w:rsid w:val="004817B2"/>
    <w:rsid w:val="00481813"/>
    <w:rsid w:val="00483355"/>
    <w:rsid w:val="00483F1B"/>
    <w:rsid w:val="00484A14"/>
    <w:rsid w:val="00484F94"/>
    <w:rsid w:val="004855BB"/>
    <w:rsid w:val="0048695D"/>
    <w:rsid w:val="00486B9C"/>
    <w:rsid w:val="004870AF"/>
    <w:rsid w:val="004870BB"/>
    <w:rsid w:val="004876AC"/>
    <w:rsid w:val="00487CE4"/>
    <w:rsid w:val="00487CF7"/>
    <w:rsid w:val="00487F4E"/>
    <w:rsid w:val="004915E5"/>
    <w:rsid w:val="00491935"/>
    <w:rsid w:val="00491D5C"/>
    <w:rsid w:val="0049295A"/>
    <w:rsid w:val="0049673F"/>
    <w:rsid w:val="00497801"/>
    <w:rsid w:val="004A082F"/>
    <w:rsid w:val="004A184B"/>
    <w:rsid w:val="004A2C27"/>
    <w:rsid w:val="004A3465"/>
    <w:rsid w:val="004A3CC5"/>
    <w:rsid w:val="004A508E"/>
    <w:rsid w:val="004A5E32"/>
    <w:rsid w:val="004A6197"/>
    <w:rsid w:val="004A6D1F"/>
    <w:rsid w:val="004A6D95"/>
    <w:rsid w:val="004B0514"/>
    <w:rsid w:val="004B0B70"/>
    <w:rsid w:val="004B2CFD"/>
    <w:rsid w:val="004B322A"/>
    <w:rsid w:val="004B32F8"/>
    <w:rsid w:val="004B57F4"/>
    <w:rsid w:val="004B5A42"/>
    <w:rsid w:val="004B6335"/>
    <w:rsid w:val="004B64DD"/>
    <w:rsid w:val="004B65EF"/>
    <w:rsid w:val="004B6665"/>
    <w:rsid w:val="004B6931"/>
    <w:rsid w:val="004B7B48"/>
    <w:rsid w:val="004B7FBC"/>
    <w:rsid w:val="004C053F"/>
    <w:rsid w:val="004C0DD1"/>
    <w:rsid w:val="004C10BE"/>
    <w:rsid w:val="004C4ED5"/>
    <w:rsid w:val="004C5863"/>
    <w:rsid w:val="004C609D"/>
    <w:rsid w:val="004C74EC"/>
    <w:rsid w:val="004D03EE"/>
    <w:rsid w:val="004D0401"/>
    <w:rsid w:val="004D27CC"/>
    <w:rsid w:val="004D44E3"/>
    <w:rsid w:val="004D554A"/>
    <w:rsid w:val="004D6B47"/>
    <w:rsid w:val="004D6BD7"/>
    <w:rsid w:val="004D72AF"/>
    <w:rsid w:val="004D7557"/>
    <w:rsid w:val="004E13E3"/>
    <w:rsid w:val="004E197E"/>
    <w:rsid w:val="004E2049"/>
    <w:rsid w:val="004E237F"/>
    <w:rsid w:val="004E308E"/>
    <w:rsid w:val="004E45C4"/>
    <w:rsid w:val="004E55B6"/>
    <w:rsid w:val="004E55DC"/>
    <w:rsid w:val="004E5B09"/>
    <w:rsid w:val="004E67EA"/>
    <w:rsid w:val="004E72D6"/>
    <w:rsid w:val="004F0490"/>
    <w:rsid w:val="004F2CC7"/>
    <w:rsid w:val="004F3788"/>
    <w:rsid w:val="004F37B9"/>
    <w:rsid w:val="004F451D"/>
    <w:rsid w:val="004F4634"/>
    <w:rsid w:val="004F4E64"/>
    <w:rsid w:val="004F6B66"/>
    <w:rsid w:val="004F7724"/>
    <w:rsid w:val="004F7A77"/>
    <w:rsid w:val="00501B75"/>
    <w:rsid w:val="0050293E"/>
    <w:rsid w:val="0050387C"/>
    <w:rsid w:val="00505073"/>
    <w:rsid w:val="00505DC8"/>
    <w:rsid w:val="00506B4D"/>
    <w:rsid w:val="00507BE0"/>
    <w:rsid w:val="005110B1"/>
    <w:rsid w:val="00511A2B"/>
    <w:rsid w:val="005128AD"/>
    <w:rsid w:val="005137F0"/>
    <w:rsid w:val="00514A71"/>
    <w:rsid w:val="00515B4F"/>
    <w:rsid w:val="00515F0E"/>
    <w:rsid w:val="00516B28"/>
    <w:rsid w:val="00517140"/>
    <w:rsid w:val="00517781"/>
    <w:rsid w:val="005178A8"/>
    <w:rsid w:val="00517919"/>
    <w:rsid w:val="00517B16"/>
    <w:rsid w:val="00520530"/>
    <w:rsid w:val="005206B3"/>
    <w:rsid w:val="00521D39"/>
    <w:rsid w:val="0052298C"/>
    <w:rsid w:val="00522D29"/>
    <w:rsid w:val="00523BB3"/>
    <w:rsid w:val="00523D2D"/>
    <w:rsid w:val="0052443C"/>
    <w:rsid w:val="00524D1E"/>
    <w:rsid w:val="005253A3"/>
    <w:rsid w:val="00525B72"/>
    <w:rsid w:val="00525DE1"/>
    <w:rsid w:val="0052691F"/>
    <w:rsid w:val="00526B69"/>
    <w:rsid w:val="00527EE5"/>
    <w:rsid w:val="005310E8"/>
    <w:rsid w:val="005330DD"/>
    <w:rsid w:val="00533B0A"/>
    <w:rsid w:val="00533B90"/>
    <w:rsid w:val="00536E8D"/>
    <w:rsid w:val="005377CC"/>
    <w:rsid w:val="00540E95"/>
    <w:rsid w:val="0054202D"/>
    <w:rsid w:val="00542B61"/>
    <w:rsid w:val="00542F9C"/>
    <w:rsid w:val="00544020"/>
    <w:rsid w:val="0054441C"/>
    <w:rsid w:val="00544ADA"/>
    <w:rsid w:val="00545892"/>
    <w:rsid w:val="00545D5F"/>
    <w:rsid w:val="00545F90"/>
    <w:rsid w:val="00546180"/>
    <w:rsid w:val="0054658A"/>
    <w:rsid w:val="00546AE8"/>
    <w:rsid w:val="005470DA"/>
    <w:rsid w:val="00547D16"/>
    <w:rsid w:val="00550152"/>
    <w:rsid w:val="005514C1"/>
    <w:rsid w:val="005522EE"/>
    <w:rsid w:val="00552EC7"/>
    <w:rsid w:val="005543A6"/>
    <w:rsid w:val="005555EB"/>
    <w:rsid w:val="0055677B"/>
    <w:rsid w:val="005571EF"/>
    <w:rsid w:val="00557440"/>
    <w:rsid w:val="00557C32"/>
    <w:rsid w:val="00557E37"/>
    <w:rsid w:val="00560253"/>
    <w:rsid w:val="0056122E"/>
    <w:rsid w:val="0056202A"/>
    <w:rsid w:val="00563418"/>
    <w:rsid w:val="0056352F"/>
    <w:rsid w:val="00563EB0"/>
    <w:rsid w:val="00564534"/>
    <w:rsid w:val="00564806"/>
    <w:rsid w:val="0056541E"/>
    <w:rsid w:val="005666CB"/>
    <w:rsid w:val="00566D3E"/>
    <w:rsid w:val="005700CD"/>
    <w:rsid w:val="005703F2"/>
    <w:rsid w:val="005728E4"/>
    <w:rsid w:val="00572D28"/>
    <w:rsid w:val="005733E4"/>
    <w:rsid w:val="00573D6B"/>
    <w:rsid w:val="00574640"/>
    <w:rsid w:val="0057472C"/>
    <w:rsid w:val="00574CC2"/>
    <w:rsid w:val="005768C3"/>
    <w:rsid w:val="00576FDE"/>
    <w:rsid w:val="005807CA"/>
    <w:rsid w:val="00580E0B"/>
    <w:rsid w:val="00581782"/>
    <w:rsid w:val="0058237B"/>
    <w:rsid w:val="00583528"/>
    <w:rsid w:val="00583DA3"/>
    <w:rsid w:val="00584541"/>
    <w:rsid w:val="00584B73"/>
    <w:rsid w:val="00585505"/>
    <w:rsid w:val="00586234"/>
    <w:rsid w:val="00586B2E"/>
    <w:rsid w:val="005879DA"/>
    <w:rsid w:val="005912A6"/>
    <w:rsid w:val="00592230"/>
    <w:rsid w:val="005923EC"/>
    <w:rsid w:val="00593F5B"/>
    <w:rsid w:val="00597A64"/>
    <w:rsid w:val="005A0DA4"/>
    <w:rsid w:val="005A1E3D"/>
    <w:rsid w:val="005A376F"/>
    <w:rsid w:val="005A5D52"/>
    <w:rsid w:val="005A6B97"/>
    <w:rsid w:val="005B3C44"/>
    <w:rsid w:val="005B3F38"/>
    <w:rsid w:val="005B4A2F"/>
    <w:rsid w:val="005B5BAE"/>
    <w:rsid w:val="005B635B"/>
    <w:rsid w:val="005C17CF"/>
    <w:rsid w:val="005C29AD"/>
    <w:rsid w:val="005C501E"/>
    <w:rsid w:val="005C713F"/>
    <w:rsid w:val="005C7F3B"/>
    <w:rsid w:val="005D02C0"/>
    <w:rsid w:val="005D25B5"/>
    <w:rsid w:val="005D364D"/>
    <w:rsid w:val="005D67F8"/>
    <w:rsid w:val="005D6807"/>
    <w:rsid w:val="005D75AE"/>
    <w:rsid w:val="005E0441"/>
    <w:rsid w:val="005E06C3"/>
    <w:rsid w:val="005E1AF5"/>
    <w:rsid w:val="005E2F1A"/>
    <w:rsid w:val="005E37B3"/>
    <w:rsid w:val="005E5678"/>
    <w:rsid w:val="005F026A"/>
    <w:rsid w:val="005F072E"/>
    <w:rsid w:val="005F1CD1"/>
    <w:rsid w:val="005F2FF9"/>
    <w:rsid w:val="005F458E"/>
    <w:rsid w:val="005F48D5"/>
    <w:rsid w:val="005F4B5B"/>
    <w:rsid w:val="005F4BFF"/>
    <w:rsid w:val="005F4C6E"/>
    <w:rsid w:val="005F683D"/>
    <w:rsid w:val="005F707A"/>
    <w:rsid w:val="005F70C2"/>
    <w:rsid w:val="005F782D"/>
    <w:rsid w:val="00600245"/>
    <w:rsid w:val="00600CD8"/>
    <w:rsid w:val="00600DB8"/>
    <w:rsid w:val="00600E02"/>
    <w:rsid w:val="00601852"/>
    <w:rsid w:val="006018E6"/>
    <w:rsid w:val="006022FF"/>
    <w:rsid w:val="00602453"/>
    <w:rsid w:val="0060325C"/>
    <w:rsid w:val="00604FDB"/>
    <w:rsid w:val="00605084"/>
    <w:rsid w:val="006053F4"/>
    <w:rsid w:val="00605DBF"/>
    <w:rsid w:val="00606F6D"/>
    <w:rsid w:val="0060740E"/>
    <w:rsid w:val="00610026"/>
    <w:rsid w:val="00610D98"/>
    <w:rsid w:val="00612935"/>
    <w:rsid w:val="00615271"/>
    <w:rsid w:val="00615482"/>
    <w:rsid w:val="00615B17"/>
    <w:rsid w:val="00617F82"/>
    <w:rsid w:val="0062089A"/>
    <w:rsid w:val="00620C40"/>
    <w:rsid w:val="006214F2"/>
    <w:rsid w:val="00621794"/>
    <w:rsid w:val="006217C6"/>
    <w:rsid w:val="00621A74"/>
    <w:rsid w:val="006227CC"/>
    <w:rsid w:val="00622D0F"/>
    <w:rsid w:val="00622E7D"/>
    <w:rsid w:val="006230F7"/>
    <w:rsid w:val="00623434"/>
    <w:rsid w:val="00625A9E"/>
    <w:rsid w:val="00625C00"/>
    <w:rsid w:val="00627B3D"/>
    <w:rsid w:val="00627C6C"/>
    <w:rsid w:val="00630E88"/>
    <w:rsid w:val="0063115E"/>
    <w:rsid w:val="006322DF"/>
    <w:rsid w:val="00633852"/>
    <w:rsid w:val="00634AEB"/>
    <w:rsid w:val="00634D76"/>
    <w:rsid w:val="0063587F"/>
    <w:rsid w:val="00637402"/>
    <w:rsid w:val="00637B9C"/>
    <w:rsid w:val="006409CF"/>
    <w:rsid w:val="00640AC0"/>
    <w:rsid w:val="00642BDF"/>
    <w:rsid w:val="00643415"/>
    <w:rsid w:val="00643B0C"/>
    <w:rsid w:val="00646050"/>
    <w:rsid w:val="00647522"/>
    <w:rsid w:val="00647553"/>
    <w:rsid w:val="00652858"/>
    <w:rsid w:val="00654018"/>
    <w:rsid w:val="00655805"/>
    <w:rsid w:val="00655873"/>
    <w:rsid w:val="00656ABA"/>
    <w:rsid w:val="00656E4F"/>
    <w:rsid w:val="00656F69"/>
    <w:rsid w:val="0065700C"/>
    <w:rsid w:val="00660400"/>
    <w:rsid w:val="00660FEA"/>
    <w:rsid w:val="00661A92"/>
    <w:rsid w:val="00661DD2"/>
    <w:rsid w:val="00661E0B"/>
    <w:rsid w:val="006629EA"/>
    <w:rsid w:val="006630EE"/>
    <w:rsid w:val="00664F8F"/>
    <w:rsid w:val="00665516"/>
    <w:rsid w:val="006676CA"/>
    <w:rsid w:val="006716B7"/>
    <w:rsid w:val="00671BE0"/>
    <w:rsid w:val="006720E8"/>
    <w:rsid w:val="00673164"/>
    <w:rsid w:val="006756A9"/>
    <w:rsid w:val="006777F8"/>
    <w:rsid w:val="006810D6"/>
    <w:rsid w:val="0068144C"/>
    <w:rsid w:val="0068221A"/>
    <w:rsid w:val="00682667"/>
    <w:rsid w:val="0068612C"/>
    <w:rsid w:val="00691686"/>
    <w:rsid w:val="00691891"/>
    <w:rsid w:val="00692CA7"/>
    <w:rsid w:val="00693F99"/>
    <w:rsid w:val="00694390"/>
    <w:rsid w:val="0069512A"/>
    <w:rsid w:val="0069557E"/>
    <w:rsid w:val="00696145"/>
    <w:rsid w:val="00697AF9"/>
    <w:rsid w:val="006A0D8C"/>
    <w:rsid w:val="006A140A"/>
    <w:rsid w:val="006A232A"/>
    <w:rsid w:val="006A2DE2"/>
    <w:rsid w:val="006A3ADF"/>
    <w:rsid w:val="006A46E3"/>
    <w:rsid w:val="006A4C6B"/>
    <w:rsid w:val="006A4E38"/>
    <w:rsid w:val="006B0807"/>
    <w:rsid w:val="006B0877"/>
    <w:rsid w:val="006B131A"/>
    <w:rsid w:val="006B1891"/>
    <w:rsid w:val="006B325F"/>
    <w:rsid w:val="006B3CE9"/>
    <w:rsid w:val="006B4D67"/>
    <w:rsid w:val="006B513F"/>
    <w:rsid w:val="006B540D"/>
    <w:rsid w:val="006B61AF"/>
    <w:rsid w:val="006B63DB"/>
    <w:rsid w:val="006B7A01"/>
    <w:rsid w:val="006B7BF7"/>
    <w:rsid w:val="006B7FB1"/>
    <w:rsid w:val="006C0B19"/>
    <w:rsid w:val="006C1CC4"/>
    <w:rsid w:val="006C2B77"/>
    <w:rsid w:val="006C365F"/>
    <w:rsid w:val="006C44B2"/>
    <w:rsid w:val="006C4743"/>
    <w:rsid w:val="006C5D05"/>
    <w:rsid w:val="006D0976"/>
    <w:rsid w:val="006D0EB7"/>
    <w:rsid w:val="006D2349"/>
    <w:rsid w:val="006D3A28"/>
    <w:rsid w:val="006D5AD0"/>
    <w:rsid w:val="006D62B8"/>
    <w:rsid w:val="006E1D34"/>
    <w:rsid w:val="006E3975"/>
    <w:rsid w:val="006E3E75"/>
    <w:rsid w:val="006E509F"/>
    <w:rsid w:val="006E557E"/>
    <w:rsid w:val="006E7A6B"/>
    <w:rsid w:val="006F0197"/>
    <w:rsid w:val="006F21A7"/>
    <w:rsid w:val="006F21D3"/>
    <w:rsid w:val="006F28C5"/>
    <w:rsid w:val="006F2DB5"/>
    <w:rsid w:val="006F419B"/>
    <w:rsid w:val="006F460F"/>
    <w:rsid w:val="006F49C4"/>
    <w:rsid w:val="006F54D7"/>
    <w:rsid w:val="006F5D0B"/>
    <w:rsid w:val="006F6144"/>
    <w:rsid w:val="006F6547"/>
    <w:rsid w:val="006F7C31"/>
    <w:rsid w:val="0070455F"/>
    <w:rsid w:val="00704E15"/>
    <w:rsid w:val="00706673"/>
    <w:rsid w:val="007073DB"/>
    <w:rsid w:val="00707D41"/>
    <w:rsid w:val="00710B2C"/>
    <w:rsid w:val="00710CCA"/>
    <w:rsid w:val="00710D76"/>
    <w:rsid w:val="00711554"/>
    <w:rsid w:val="0071155B"/>
    <w:rsid w:val="00711E22"/>
    <w:rsid w:val="007121F5"/>
    <w:rsid w:val="007128D7"/>
    <w:rsid w:val="00712B4E"/>
    <w:rsid w:val="00713176"/>
    <w:rsid w:val="007133B7"/>
    <w:rsid w:val="00714144"/>
    <w:rsid w:val="007151E0"/>
    <w:rsid w:val="00716190"/>
    <w:rsid w:val="00717153"/>
    <w:rsid w:val="0072036A"/>
    <w:rsid w:val="007206C1"/>
    <w:rsid w:val="007215A3"/>
    <w:rsid w:val="00722DC2"/>
    <w:rsid w:val="00723471"/>
    <w:rsid w:val="00725391"/>
    <w:rsid w:val="00725C2F"/>
    <w:rsid w:val="00725CD8"/>
    <w:rsid w:val="0072627E"/>
    <w:rsid w:val="0072699F"/>
    <w:rsid w:val="007272DA"/>
    <w:rsid w:val="0073206B"/>
    <w:rsid w:val="00732C5F"/>
    <w:rsid w:val="0073471A"/>
    <w:rsid w:val="00734F80"/>
    <w:rsid w:val="0073625C"/>
    <w:rsid w:val="00736D7D"/>
    <w:rsid w:val="0073740E"/>
    <w:rsid w:val="0073759C"/>
    <w:rsid w:val="00740B6B"/>
    <w:rsid w:val="00741AFA"/>
    <w:rsid w:val="00741E89"/>
    <w:rsid w:val="007430B2"/>
    <w:rsid w:val="00743ACE"/>
    <w:rsid w:val="00744017"/>
    <w:rsid w:val="007446E4"/>
    <w:rsid w:val="00744CA0"/>
    <w:rsid w:val="00745327"/>
    <w:rsid w:val="00745B45"/>
    <w:rsid w:val="00745CDD"/>
    <w:rsid w:val="007460F6"/>
    <w:rsid w:val="00746838"/>
    <w:rsid w:val="00746E5D"/>
    <w:rsid w:val="00747CA5"/>
    <w:rsid w:val="00750318"/>
    <w:rsid w:val="007511BA"/>
    <w:rsid w:val="00751897"/>
    <w:rsid w:val="00752090"/>
    <w:rsid w:val="00752121"/>
    <w:rsid w:val="0075312C"/>
    <w:rsid w:val="007533EF"/>
    <w:rsid w:val="00753AA2"/>
    <w:rsid w:val="007566D3"/>
    <w:rsid w:val="00756924"/>
    <w:rsid w:val="00756A85"/>
    <w:rsid w:val="00757851"/>
    <w:rsid w:val="00757F82"/>
    <w:rsid w:val="00761F94"/>
    <w:rsid w:val="00762651"/>
    <w:rsid w:val="00762AB8"/>
    <w:rsid w:val="00763FFC"/>
    <w:rsid w:val="00764132"/>
    <w:rsid w:val="007646A6"/>
    <w:rsid w:val="00765A64"/>
    <w:rsid w:val="00765B5C"/>
    <w:rsid w:val="007661DA"/>
    <w:rsid w:val="007663DF"/>
    <w:rsid w:val="0076680B"/>
    <w:rsid w:val="007675FA"/>
    <w:rsid w:val="00770153"/>
    <w:rsid w:val="007706F9"/>
    <w:rsid w:val="0077133D"/>
    <w:rsid w:val="007723F2"/>
    <w:rsid w:val="007727B8"/>
    <w:rsid w:val="00772F3F"/>
    <w:rsid w:val="00772FDE"/>
    <w:rsid w:val="00773088"/>
    <w:rsid w:val="007735BD"/>
    <w:rsid w:val="00775B82"/>
    <w:rsid w:val="00776685"/>
    <w:rsid w:val="00776907"/>
    <w:rsid w:val="00777756"/>
    <w:rsid w:val="007803F1"/>
    <w:rsid w:val="00780417"/>
    <w:rsid w:val="00781C40"/>
    <w:rsid w:val="00783320"/>
    <w:rsid w:val="007833AB"/>
    <w:rsid w:val="0078344B"/>
    <w:rsid w:val="00784022"/>
    <w:rsid w:val="007856AC"/>
    <w:rsid w:val="00785A56"/>
    <w:rsid w:val="0078629C"/>
    <w:rsid w:val="00786325"/>
    <w:rsid w:val="0079036E"/>
    <w:rsid w:val="007911AA"/>
    <w:rsid w:val="00791369"/>
    <w:rsid w:val="00791D01"/>
    <w:rsid w:val="00792038"/>
    <w:rsid w:val="00792F2F"/>
    <w:rsid w:val="00794A24"/>
    <w:rsid w:val="00795385"/>
    <w:rsid w:val="00795759"/>
    <w:rsid w:val="00795C3C"/>
    <w:rsid w:val="00795F0E"/>
    <w:rsid w:val="00796101"/>
    <w:rsid w:val="00796B6D"/>
    <w:rsid w:val="00796FDE"/>
    <w:rsid w:val="007971C0"/>
    <w:rsid w:val="0079774A"/>
    <w:rsid w:val="007A10E3"/>
    <w:rsid w:val="007A20BD"/>
    <w:rsid w:val="007A245B"/>
    <w:rsid w:val="007A7149"/>
    <w:rsid w:val="007B29BA"/>
    <w:rsid w:val="007B3ACD"/>
    <w:rsid w:val="007B3EE5"/>
    <w:rsid w:val="007B4170"/>
    <w:rsid w:val="007B44FF"/>
    <w:rsid w:val="007B4701"/>
    <w:rsid w:val="007B4F26"/>
    <w:rsid w:val="007B545B"/>
    <w:rsid w:val="007B66C5"/>
    <w:rsid w:val="007B6C7E"/>
    <w:rsid w:val="007B75D3"/>
    <w:rsid w:val="007B7FED"/>
    <w:rsid w:val="007C02B6"/>
    <w:rsid w:val="007C0C92"/>
    <w:rsid w:val="007C3052"/>
    <w:rsid w:val="007C3662"/>
    <w:rsid w:val="007C5475"/>
    <w:rsid w:val="007C5879"/>
    <w:rsid w:val="007C6289"/>
    <w:rsid w:val="007C7546"/>
    <w:rsid w:val="007C7CD3"/>
    <w:rsid w:val="007D06AF"/>
    <w:rsid w:val="007D0B07"/>
    <w:rsid w:val="007D146F"/>
    <w:rsid w:val="007D5A96"/>
    <w:rsid w:val="007D6AE1"/>
    <w:rsid w:val="007D6FCA"/>
    <w:rsid w:val="007E1E30"/>
    <w:rsid w:val="007E3FB6"/>
    <w:rsid w:val="007E4451"/>
    <w:rsid w:val="007E4FDC"/>
    <w:rsid w:val="007E5EDA"/>
    <w:rsid w:val="007E6B18"/>
    <w:rsid w:val="007F242B"/>
    <w:rsid w:val="007F2556"/>
    <w:rsid w:val="007F3244"/>
    <w:rsid w:val="007F382C"/>
    <w:rsid w:val="007F3CBE"/>
    <w:rsid w:val="007F4704"/>
    <w:rsid w:val="007F4AAA"/>
    <w:rsid w:val="007F4B99"/>
    <w:rsid w:val="007F6764"/>
    <w:rsid w:val="007F6A1D"/>
    <w:rsid w:val="007F6E92"/>
    <w:rsid w:val="008003DE"/>
    <w:rsid w:val="008004E7"/>
    <w:rsid w:val="00800B0C"/>
    <w:rsid w:val="00801FC9"/>
    <w:rsid w:val="00803469"/>
    <w:rsid w:val="00804962"/>
    <w:rsid w:val="00805525"/>
    <w:rsid w:val="008055B9"/>
    <w:rsid w:val="00806F06"/>
    <w:rsid w:val="0081088C"/>
    <w:rsid w:val="00811902"/>
    <w:rsid w:val="00811F8F"/>
    <w:rsid w:val="00812AD2"/>
    <w:rsid w:val="00812FF8"/>
    <w:rsid w:val="008140DB"/>
    <w:rsid w:val="008157B6"/>
    <w:rsid w:val="00815C49"/>
    <w:rsid w:val="008163B5"/>
    <w:rsid w:val="00816757"/>
    <w:rsid w:val="00817749"/>
    <w:rsid w:val="0082202C"/>
    <w:rsid w:val="00822F21"/>
    <w:rsid w:val="00825437"/>
    <w:rsid w:val="00825D1E"/>
    <w:rsid w:val="00826FD7"/>
    <w:rsid w:val="00830E1B"/>
    <w:rsid w:val="00830F65"/>
    <w:rsid w:val="00831D16"/>
    <w:rsid w:val="00832849"/>
    <w:rsid w:val="00832ECF"/>
    <w:rsid w:val="00832ED1"/>
    <w:rsid w:val="008355EC"/>
    <w:rsid w:val="00837A06"/>
    <w:rsid w:val="0084379B"/>
    <w:rsid w:val="0084411B"/>
    <w:rsid w:val="008448CF"/>
    <w:rsid w:val="00845AEC"/>
    <w:rsid w:val="00846A1B"/>
    <w:rsid w:val="00846D8D"/>
    <w:rsid w:val="00847792"/>
    <w:rsid w:val="00850E70"/>
    <w:rsid w:val="008534C0"/>
    <w:rsid w:val="00854101"/>
    <w:rsid w:val="00855755"/>
    <w:rsid w:val="00855C84"/>
    <w:rsid w:val="00855DB1"/>
    <w:rsid w:val="00857814"/>
    <w:rsid w:val="00860224"/>
    <w:rsid w:val="00861147"/>
    <w:rsid w:val="00861332"/>
    <w:rsid w:val="00861376"/>
    <w:rsid w:val="008627E4"/>
    <w:rsid w:val="0086442D"/>
    <w:rsid w:val="00865DA3"/>
    <w:rsid w:val="00866481"/>
    <w:rsid w:val="00870190"/>
    <w:rsid w:val="00870569"/>
    <w:rsid w:val="00872355"/>
    <w:rsid w:val="008724E3"/>
    <w:rsid w:val="008726BA"/>
    <w:rsid w:val="00874EB8"/>
    <w:rsid w:val="00875C65"/>
    <w:rsid w:val="00875CE4"/>
    <w:rsid w:val="00875E35"/>
    <w:rsid w:val="00881102"/>
    <w:rsid w:val="00881380"/>
    <w:rsid w:val="00882705"/>
    <w:rsid w:val="00882E83"/>
    <w:rsid w:val="00884714"/>
    <w:rsid w:val="00884DF2"/>
    <w:rsid w:val="00885CB9"/>
    <w:rsid w:val="00890EA4"/>
    <w:rsid w:val="00891AC5"/>
    <w:rsid w:val="00892047"/>
    <w:rsid w:val="0089277A"/>
    <w:rsid w:val="008927C5"/>
    <w:rsid w:val="00893B7B"/>
    <w:rsid w:val="00894339"/>
    <w:rsid w:val="008946C5"/>
    <w:rsid w:val="008958A9"/>
    <w:rsid w:val="00895BEE"/>
    <w:rsid w:val="00897BCC"/>
    <w:rsid w:val="008A048D"/>
    <w:rsid w:val="008A1B92"/>
    <w:rsid w:val="008A1F60"/>
    <w:rsid w:val="008A1F9D"/>
    <w:rsid w:val="008A5F33"/>
    <w:rsid w:val="008A79AF"/>
    <w:rsid w:val="008B0734"/>
    <w:rsid w:val="008B08D2"/>
    <w:rsid w:val="008B1815"/>
    <w:rsid w:val="008B26FC"/>
    <w:rsid w:val="008B6945"/>
    <w:rsid w:val="008B74AB"/>
    <w:rsid w:val="008C02DC"/>
    <w:rsid w:val="008C13B5"/>
    <w:rsid w:val="008C2185"/>
    <w:rsid w:val="008C3DBA"/>
    <w:rsid w:val="008C4823"/>
    <w:rsid w:val="008C579E"/>
    <w:rsid w:val="008C5A2B"/>
    <w:rsid w:val="008C634F"/>
    <w:rsid w:val="008C7CFF"/>
    <w:rsid w:val="008D03BB"/>
    <w:rsid w:val="008D05A0"/>
    <w:rsid w:val="008D1574"/>
    <w:rsid w:val="008D32AD"/>
    <w:rsid w:val="008D437C"/>
    <w:rsid w:val="008D4FB7"/>
    <w:rsid w:val="008D5385"/>
    <w:rsid w:val="008D5F45"/>
    <w:rsid w:val="008D79EF"/>
    <w:rsid w:val="008D7A58"/>
    <w:rsid w:val="008E1339"/>
    <w:rsid w:val="008E178C"/>
    <w:rsid w:val="008E1E9A"/>
    <w:rsid w:val="008E2995"/>
    <w:rsid w:val="008E2C09"/>
    <w:rsid w:val="008E323C"/>
    <w:rsid w:val="008E3629"/>
    <w:rsid w:val="008E644C"/>
    <w:rsid w:val="008E6919"/>
    <w:rsid w:val="008F059E"/>
    <w:rsid w:val="008F06E0"/>
    <w:rsid w:val="008F2721"/>
    <w:rsid w:val="008F42CE"/>
    <w:rsid w:val="008F4349"/>
    <w:rsid w:val="008F5F21"/>
    <w:rsid w:val="008F7381"/>
    <w:rsid w:val="00900DA8"/>
    <w:rsid w:val="00901333"/>
    <w:rsid w:val="00902043"/>
    <w:rsid w:val="009021DA"/>
    <w:rsid w:val="00902ABA"/>
    <w:rsid w:val="009039A0"/>
    <w:rsid w:val="00904CF4"/>
    <w:rsid w:val="00905132"/>
    <w:rsid w:val="009052AC"/>
    <w:rsid w:val="00905FBE"/>
    <w:rsid w:val="00907063"/>
    <w:rsid w:val="009072AC"/>
    <w:rsid w:val="009079B0"/>
    <w:rsid w:val="00911603"/>
    <w:rsid w:val="00912BE2"/>
    <w:rsid w:val="00912C3A"/>
    <w:rsid w:val="00912E53"/>
    <w:rsid w:val="0091383D"/>
    <w:rsid w:val="009170CF"/>
    <w:rsid w:val="00922BEB"/>
    <w:rsid w:val="00924402"/>
    <w:rsid w:val="00925808"/>
    <w:rsid w:val="00925FCB"/>
    <w:rsid w:val="00926583"/>
    <w:rsid w:val="00926EB9"/>
    <w:rsid w:val="0092734D"/>
    <w:rsid w:val="00927B45"/>
    <w:rsid w:val="00927B9E"/>
    <w:rsid w:val="0093008D"/>
    <w:rsid w:val="0093012C"/>
    <w:rsid w:val="009307EC"/>
    <w:rsid w:val="009343EF"/>
    <w:rsid w:val="00935526"/>
    <w:rsid w:val="009358F7"/>
    <w:rsid w:val="009362E5"/>
    <w:rsid w:val="00936EA4"/>
    <w:rsid w:val="009370F0"/>
    <w:rsid w:val="00940555"/>
    <w:rsid w:val="00945294"/>
    <w:rsid w:val="00945724"/>
    <w:rsid w:val="00947674"/>
    <w:rsid w:val="00950284"/>
    <w:rsid w:val="00953742"/>
    <w:rsid w:val="009546D8"/>
    <w:rsid w:val="00956492"/>
    <w:rsid w:val="00956BE9"/>
    <w:rsid w:val="009576F4"/>
    <w:rsid w:val="009579ED"/>
    <w:rsid w:val="0096038B"/>
    <w:rsid w:val="0096088B"/>
    <w:rsid w:val="00960EF4"/>
    <w:rsid w:val="00962362"/>
    <w:rsid w:val="009643AB"/>
    <w:rsid w:val="009650CA"/>
    <w:rsid w:val="0096520E"/>
    <w:rsid w:val="009653FB"/>
    <w:rsid w:val="009700EC"/>
    <w:rsid w:val="00970764"/>
    <w:rsid w:val="00970ABD"/>
    <w:rsid w:val="00970B97"/>
    <w:rsid w:val="009744EA"/>
    <w:rsid w:val="00974B63"/>
    <w:rsid w:val="0097558E"/>
    <w:rsid w:val="00975758"/>
    <w:rsid w:val="00983322"/>
    <w:rsid w:val="00983A5A"/>
    <w:rsid w:val="00983F31"/>
    <w:rsid w:val="00984BFE"/>
    <w:rsid w:val="009865A2"/>
    <w:rsid w:val="00986AEE"/>
    <w:rsid w:val="00986CF7"/>
    <w:rsid w:val="0099135A"/>
    <w:rsid w:val="00993061"/>
    <w:rsid w:val="00996323"/>
    <w:rsid w:val="0099676E"/>
    <w:rsid w:val="009A0405"/>
    <w:rsid w:val="009A1598"/>
    <w:rsid w:val="009A29F9"/>
    <w:rsid w:val="009A2C24"/>
    <w:rsid w:val="009A3CCF"/>
    <w:rsid w:val="009A4C60"/>
    <w:rsid w:val="009A6349"/>
    <w:rsid w:val="009A6DD3"/>
    <w:rsid w:val="009A6E96"/>
    <w:rsid w:val="009A78E2"/>
    <w:rsid w:val="009B0764"/>
    <w:rsid w:val="009B08A6"/>
    <w:rsid w:val="009B18A5"/>
    <w:rsid w:val="009B313C"/>
    <w:rsid w:val="009B32A3"/>
    <w:rsid w:val="009B4D82"/>
    <w:rsid w:val="009B749F"/>
    <w:rsid w:val="009B74D1"/>
    <w:rsid w:val="009C0CCC"/>
    <w:rsid w:val="009C1A3C"/>
    <w:rsid w:val="009C2851"/>
    <w:rsid w:val="009C3ED5"/>
    <w:rsid w:val="009C5C7C"/>
    <w:rsid w:val="009C5FC2"/>
    <w:rsid w:val="009C6696"/>
    <w:rsid w:val="009C7402"/>
    <w:rsid w:val="009C7978"/>
    <w:rsid w:val="009D05E2"/>
    <w:rsid w:val="009D1774"/>
    <w:rsid w:val="009D4107"/>
    <w:rsid w:val="009D699F"/>
    <w:rsid w:val="009D7905"/>
    <w:rsid w:val="009D7B94"/>
    <w:rsid w:val="009D7E12"/>
    <w:rsid w:val="009E2313"/>
    <w:rsid w:val="009E259B"/>
    <w:rsid w:val="009E2C70"/>
    <w:rsid w:val="009E34EF"/>
    <w:rsid w:val="009E40F5"/>
    <w:rsid w:val="009E4680"/>
    <w:rsid w:val="009E5090"/>
    <w:rsid w:val="009E5767"/>
    <w:rsid w:val="009E5F05"/>
    <w:rsid w:val="009E6450"/>
    <w:rsid w:val="009F0894"/>
    <w:rsid w:val="009F0972"/>
    <w:rsid w:val="009F0BD1"/>
    <w:rsid w:val="009F1356"/>
    <w:rsid w:val="009F14E9"/>
    <w:rsid w:val="009F2D01"/>
    <w:rsid w:val="009F632B"/>
    <w:rsid w:val="009F7E2E"/>
    <w:rsid w:val="00A015B8"/>
    <w:rsid w:val="00A02A5B"/>
    <w:rsid w:val="00A05081"/>
    <w:rsid w:val="00A05C08"/>
    <w:rsid w:val="00A06400"/>
    <w:rsid w:val="00A06523"/>
    <w:rsid w:val="00A06573"/>
    <w:rsid w:val="00A06D0F"/>
    <w:rsid w:val="00A105F5"/>
    <w:rsid w:val="00A10A90"/>
    <w:rsid w:val="00A13A80"/>
    <w:rsid w:val="00A141CD"/>
    <w:rsid w:val="00A1705D"/>
    <w:rsid w:val="00A1750B"/>
    <w:rsid w:val="00A208D6"/>
    <w:rsid w:val="00A244B2"/>
    <w:rsid w:val="00A24AD9"/>
    <w:rsid w:val="00A2658A"/>
    <w:rsid w:val="00A31DE5"/>
    <w:rsid w:val="00A33152"/>
    <w:rsid w:val="00A339FB"/>
    <w:rsid w:val="00A341A4"/>
    <w:rsid w:val="00A35B9B"/>
    <w:rsid w:val="00A35DE8"/>
    <w:rsid w:val="00A36AAC"/>
    <w:rsid w:val="00A36B78"/>
    <w:rsid w:val="00A379CF"/>
    <w:rsid w:val="00A40AEC"/>
    <w:rsid w:val="00A40C52"/>
    <w:rsid w:val="00A423D6"/>
    <w:rsid w:val="00A42E9B"/>
    <w:rsid w:val="00A436C3"/>
    <w:rsid w:val="00A43DA9"/>
    <w:rsid w:val="00A444E5"/>
    <w:rsid w:val="00A445A7"/>
    <w:rsid w:val="00A44E6E"/>
    <w:rsid w:val="00A4542D"/>
    <w:rsid w:val="00A4566A"/>
    <w:rsid w:val="00A46FAE"/>
    <w:rsid w:val="00A5094C"/>
    <w:rsid w:val="00A50B2F"/>
    <w:rsid w:val="00A5193E"/>
    <w:rsid w:val="00A52BA7"/>
    <w:rsid w:val="00A52E15"/>
    <w:rsid w:val="00A53FBD"/>
    <w:rsid w:val="00A55727"/>
    <w:rsid w:val="00A56AB9"/>
    <w:rsid w:val="00A56AFB"/>
    <w:rsid w:val="00A57A56"/>
    <w:rsid w:val="00A60204"/>
    <w:rsid w:val="00A60B96"/>
    <w:rsid w:val="00A62014"/>
    <w:rsid w:val="00A651C7"/>
    <w:rsid w:val="00A66610"/>
    <w:rsid w:val="00A67988"/>
    <w:rsid w:val="00A70AF1"/>
    <w:rsid w:val="00A71AFC"/>
    <w:rsid w:val="00A722F2"/>
    <w:rsid w:val="00A72799"/>
    <w:rsid w:val="00A7354D"/>
    <w:rsid w:val="00A73A6A"/>
    <w:rsid w:val="00A757BF"/>
    <w:rsid w:val="00A75922"/>
    <w:rsid w:val="00A75C69"/>
    <w:rsid w:val="00A76392"/>
    <w:rsid w:val="00A766DC"/>
    <w:rsid w:val="00A76745"/>
    <w:rsid w:val="00A77799"/>
    <w:rsid w:val="00A813B7"/>
    <w:rsid w:val="00A8512B"/>
    <w:rsid w:val="00A85169"/>
    <w:rsid w:val="00A863ED"/>
    <w:rsid w:val="00A87C4F"/>
    <w:rsid w:val="00A90DBA"/>
    <w:rsid w:val="00A9393F"/>
    <w:rsid w:val="00A945DA"/>
    <w:rsid w:val="00A9608D"/>
    <w:rsid w:val="00A96E80"/>
    <w:rsid w:val="00AA05D7"/>
    <w:rsid w:val="00AA06CC"/>
    <w:rsid w:val="00AA0C9F"/>
    <w:rsid w:val="00AA1157"/>
    <w:rsid w:val="00AA18C5"/>
    <w:rsid w:val="00AA1D0A"/>
    <w:rsid w:val="00AA2A04"/>
    <w:rsid w:val="00AA2DCE"/>
    <w:rsid w:val="00AA3178"/>
    <w:rsid w:val="00AA396D"/>
    <w:rsid w:val="00AA41D9"/>
    <w:rsid w:val="00AA443D"/>
    <w:rsid w:val="00AA5B35"/>
    <w:rsid w:val="00AA68A6"/>
    <w:rsid w:val="00AA6A79"/>
    <w:rsid w:val="00AA6BE2"/>
    <w:rsid w:val="00AB0168"/>
    <w:rsid w:val="00AB022F"/>
    <w:rsid w:val="00AB096F"/>
    <w:rsid w:val="00AB209F"/>
    <w:rsid w:val="00AB24D6"/>
    <w:rsid w:val="00AB3E7D"/>
    <w:rsid w:val="00AB54CE"/>
    <w:rsid w:val="00AB5E04"/>
    <w:rsid w:val="00AB6C01"/>
    <w:rsid w:val="00AC0053"/>
    <w:rsid w:val="00AC1E6D"/>
    <w:rsid w:val="00AC2628"/>
    <w:rsid w:val="00AC35F2"/>
    <w:rsid w:val="00AC3922"/>
    <w:rsid w:val="00AC3982"/>
    <w:rsid w:val="00AC3EB0"/>
    <w:rsid w:val="00AC4BF1"/>
    <w:rsid w:val="00AC5677"/>
    <w:rsid w:val="00AD03CD"/>
    <w:rsid w:val="00AD0CE9"/>
    <w:rsid w:val="00AD10E6"/>
    <w:rsid w:val="00AD118A"/>
    <w:rsid w:val="00AD2477"/>
    <w:rsid w:val="00AD4D5C"/>
    <w:rsid w:val="00AD5149"/>
    <w:rsid w:val="00AD51DA"/>
    <w:rsid w:val="00AD7C5C"/>
    <w:rsid w:val="00AE0862"/>
    <w:rsid w:val="00AE257E"/>
    <w:rsid w:val="00AE2B07"/>
    <w:rsid w:val="00AE688A"/>
    <w:rsid w:val="00AE7642"/>
    <w:rsid w:val="00AF1467"/>
    <w:rsid w:val="00AF1AAB"/>
    <w:rsid w:val="00AF1B80"/>
    <w:rsid w:val="00AF215F"/>
    <w:rsid w:val="00AF3105"/>
    <w:rsid w:val="00AF3DEE"/>
    <w:rsid w:val="00AF42E4"/>
    <w:rsid w:val="00AF65CD"/>
    <w:rsid w:val="00AF6CF5"/>
    <w:rsid w:val="00B011DB"/>
    <w:rsid w:val="00B0144D"/>
    <w:rsid w:val="00B0152C"/>
    <w:rsid w:val="00B01D58"/>
    <w:rsid w:val="00B01DDA"/>
    <w:rsid w:val="00B07043"/>
    <w:rsid w:val="00B10198"/>
    <w:rsid w:val="00B10F6E"/>
    <w:rsid w:val="00B125C4"/>
    <w:rsid w:val="00B12A4A"/>
    <w:rsid w:val="00B15246"/>
    <w:rsid w:val="00B153D5"/>
    <w:rsid w:val="00B166F5"/>
    <w:rsid w:val="00B16AF8"/>
    <w:rsid w:val="00B1795D"/>
    <w:rsid w:val="00B17BB9"/>
    <w:rsid w:val="00B20C3D"/>
    <w:rsid w:val="00B21194"/>
    <w:rsid w:val="00B219C4"/>
    <w:rsid w:val="00B21B3C"/>
    <w:rsid w:val="00B23C81"/>
    <w:rsid w:val="00B245B1"/>
    <w:rsid w:val="00B24671"/>
    <w:rsid w:val="00B30685"/>
    <w:rsid w:val="00B3099D"/>
    <w:rsid w:val="00B30DBD"/>
    <w:rsid w:val="00B32F14"/>
    <w:rsid w:val="00B3524D"/>
    <w:rsid w:val="00B36726"/>
    <w:rsid w:val="00B3758D"/>
    <w:rsid w:val="00B42FE0"/>
    <w:rsid w:val="00B439C6"/>
    <w:rsid w:val="00B4419C"/>
    <w:rsid w:val="00B445A6"/>
    <w:rsid w:val="00B45E40"/>
    <w:rsid w:val="00B47BCD"/>
    <w:rsid w:val="00B47EA3"/>
    <w:rsid w:val="00B50542"/>
    <w:rsid w:val="00B5186F"/>
    <w:rsid w:val="00B54999"/>
    <w:rsid w:val="00B5535C"/>
    <w:rsid w:val="00B56126"/>
    <w:rsid w:val="00B56887"/>
    <w:rsid w:val="00B5795F"/>
    <w:rsid w:val="00B60EC8"/>
    <w:rsid w:val="00B617B4"/>
    <w:rsid w:val="00B62F8E"/>
    <w:rsid w:val="00B630D0"/>
    <w:rsid w:val="00B63EF9"/>
    <w:rsid w:val="00B66953"/>
    <w:rsid w:val="00B6738C"/>
    <w:rsid w:val="00B6767D"/>
    <w:rsid w:val="00B73CBB"/>
    <w:rsid w:val="00B74755"/>
    <w:rsid w:val="00B74CA2"/>
    <w:rsid w:val="00B76018"/>
    <w:rsid w:val="00B762A3"/>
    <w:rsid w:val="00B76365"/>
    <w:rsid w:val="00B7647A"/>
    <w:rsid w:val="00B766F6"/>
    <w:rsid w:val="00B76BB0"/>
    <w:rsid w:val="00B77A8D"/>
    <w:rsid w:val="00B80AAD"/>
    <w:rsid w:val="00B81653"/>
    <w:rsid w:val="00B81902"/>
    <w:rsid w:val="00B82BCA"/>
    <w:rsid w:val="00B84695"/>
    <w:rsid w:val="00B855C3"/>
    <w:rsid w:val="00B865D9"/>
    <w:rsid w:val="00B8750B"/>
    <w:rsid w:val="00B875EA"/>
    <w:rsid w:val="00B87BF9"/>
    <w:rsid w:val="00B87EB2"/>
    <w:rsid w:val="00B913CF"/>
    <w:rsid w:val="00B92CB4"/>
    <w:rsid w:val="00B933A0"/>
    <w:rsid w:val="00B9369D"/>
    <w:rsid w:val="00B93F87"/>
    <w:rsid w:val="00B949A0"/>
    <w:rsid w:val="00B94D56"/>
    <w:rsid w:val="00B957D2"/>
    <w:rsid w:val="00B966F6"/>
    <w:rsid w:val="00B96970"/>
    <w:rsid w:val="00B96AC2"/>
    <w:rsid w:val="00B96D6D"/>
    <w:rsid w:val="00B973FD"/>
    <w:rsid w:val="00B97EC0"/>
    <w:rsid w:val="00BA0311"/>
    <w:rsid w:val="00BA1E90"/>
    <w:rsid w:val="00BA29DE"/>
    <w:rsid w:val="00BA41AC"/>
    <w:rsid w:val="00BA43F1"/>
    <w:rsid w:val="00BA4D17"/>
    <w:rsid w:val="00BA57CE"/>
    <w:rsid w:val="00BB1EC0"/>
    <w:rsid w:val="00BB3974"/>
    <w:rsid w:val="00BB4EAA"/>
    <w:rsid w:val="00BB593E"/>
    <w:rsid w:val="00BB6668"/>
    <w:rsid w:val="00BB69C7"/>
    <w:rsid w:val="00BB7140"/>
    <w:rsid w:val="00BC1D91"/>
    <w:rsid w:val="00BC1EAB"/>
    <w:rsid w:val="00BC2B8D"/>
    <w:rsid w:val="00BC3A74"/>
    <w:rsid w:val="00BC3CAB"/>
    <w:rsid w:val="00BC3E0A"/>
    <w:rsid w:val="00BC44FD"/>
    <w:rsid w:val="00BC45F1"/>
    <w:rsid w:val="00BC4FDB"/>
    <w:rsid w:val="00BC6C9C"/>
    <w:rsid w:val="00BC710C"/>
    <w:rsid w:val="00BC7264"/>
    <w:rsid w:val="00BC74D4"/>
    <w:rsid w:val="00BD0CC8"/>
    <w:rsid w:val="00BD18C8"/>
    <w:rsid w:val="00BD2E89"/>
    <w:rsid w:val="00BD34FD"/>
    <w:rsid w:val="00BD3875"/>
    <w:rsid w:val="00BD3F09"/>
    <w:rsid w:val="00BD47D3"/>
    <w:rsid w:val="00BD7333"/>
    <w:rsid w:val="00BD7572"/>
    <w:rsid w:val="00BE060D"/>
    <w:rsid w:val="00BE1327"/>
    <w:rsid w:val="00BE2DEC"/>
    <w:rsid w:val="00BE3392"/>
    <w:rsid w:val="00BE3918"/>
    <w:rsid w:val="00BE3C03"/>
    <w:rsid w:val="00BE4A0F"/>
    <w:rsid w:val="00BF0E0C"/>
    <w:rsid w:val="00BF3722"/>
    <w:rsid w:val="00BF524C"/>
    <w:rsid w:val="00BF5EEB"/>
    <w:rsid w:val="00BF6792"/>
    <w:rsid w:val="00BF7289"/>
    <w:rsid w:val="00BF7B44"/>
    <w:rsid w:val="00BF7CBE"/>
    <w:rsid w:val="00C000F1"/>
    <w:rsid w:val="00C00216"/>
    <w:rsid w:val="00C00F0C"/>
    <w:rsid w:val="00C025BD"/>
    <w:rsid w:val="00C042C8"/>
    <w:rsid w:val="00C047E8"/>
    <w:rsid w:val="00C05F15"/>
    <w:rsid w:val="00C06788"/>
    <w:rsid w:val="00C0744F"/>
    <w:rsid w:val="00C07C55"/>
    <w:rsid w:val="00C07D0F"/>
    <w:rsid w:val="00C07D63"/>
    <w:rsid w:val="00C07D92"/>
    <w:rsid w:val="00C116D4"/>
    <w:rsid w:val="00C13070"/>
    <w:rsid w:val="00C14232"/>
    <w:rsid w:val="00C1445C"/>
    <w:rsid w:val="00C15959"/>
    <w:rsid w:val="00C15E18"/>
    <w:rsid w:val="00C16BB3"/>
    <w:rsid w:val="00C17681"/>
    <w:rsid w:val="00C202D0"/>
    <w:rsid w:val="00C20A30"/>
    <w:rsid w:val="00C22E3D"/>
    <w:rsid w:val="00C2612F"/>
    <w:rsid w:val="00C261FC"/>
    <w:rsid w:val="00C26255"/>
    <w:rsid w:val="00C34C72"/>
    <w:rsid w:val="00C36231"/>
    <w:rsid w:val="00C368E9"/>
    <w:rsid w:val="00C37BBC"/>
    <w:rsid w:val="00C4039C"/>
    <w:rsid w:val="00C418EB"/>
    <w:rsid w:val="00C42023"/>
    <w:rsid w:val="00C42FBF"/>
    <w:rsid w:val="00C44584"/>
    <w:rsid w:val="00C45360"/>
    <w:rsid w:val="00C45915"/>
    <w:rsid w:val="00C46C2E"/>
    <w:rsid w:val="00C47F0A"/>
    <w:rsid w:val="00C505AB"/>
    <w:rsid w:val="00C53D51"/>
    <w:rsid w:val="00C54545"/>
    <w:rsid w:val="00C546FA"/>
    <w:rsid w:val="00C549EE"/>
    <w:rsid w:val="00C54E05"/>
    <w:rsid w:val="00C55954"/>
    <w:rsid w:val="00C55F8D"/>
    <w:rsid w:val="00C564B9"/>
    <w:rsid w:val="00C56E20"/>
    <w:rsid w:val="00C5743B"/>
    <w:rsid w:val="00C57672"/>
    <w:rsid w:val="00C57FD6"/>
    <w:rsid w:val="00C61302"/>
    <w:rsid w:val="00C61407"/>
    <w:rsid w:val="00C61979"/>
    <w:rsid w:val="00C61B5B"/>
    <w:rsid w:val="00C62E2B"/>
    <w:rsid w:val="00C63139"/>
    <w:rsid w:val="00C645FA"/>
    <w:rsid w:val="00C64854"/>
    <w:rsid w:val="00C65898"/>
    <w:rsid w:val="00C677FF"/>
    <w:rsid w:val="00C67C48"/>
    <w:rsid w:val="00C7039C"/>
    <w:rsid w:val="00C70F6D"/>
    <w:rsid w:val="00C7118D"/>
    <w:rsid w:val="00C7236E"/>
    <w:rsid w:val="00C73D39"/>
    <w:rsid w:val="00C74369"/>
    <w:rsid w:val="00C745C6"/>
    <w:rsid w:val="00C75BD6"/>
    <w:rsid w:val="00C76A1F"/>
    <w:rsid w:val="00C77207"/>
    <w:rsid w:val="00C777A8"/>
    <w:rsid w:val="00C77A65"/>
    <w:rsid w:val="00C80988"/>
    <w:rsid w:val="00C816C5"/>
    <w:rsid w:val="00C81C7B"/>
    <w:rsid w:val="00C826B8"/>
    <w:rsid w:val="00C83D1A"/>
    <w:rsid w:val="00C840FC"/>
    <w:rsid w:val="00C842DF"/>
    <w:rsid w:val="00C84D46"/>
    <w:rsid w:val="00C860C4"/>
    <w:rsid w:val="00C874C0"/>
    <w:rsid w:val="00C876B5"/>
    <w:rsid w:val="00C87AB4"/>
    <w:rsid w:val="00C908D6"/>
    <w:rsid w:val="00C90A34"/>
    <w:rsid w:val="00C913CB"/>
    <w:rsid w:val="00C914DB"/>
    <w:rsid w:val="00C91640"/>
    <w:rsid w:val="00C916AD"/>
    <w:rsid w:val="00C92812"/>
    <w:rsid w:val="00C92835"/>
    <w:rsid w:val="00C92B4C"/>
    <w:rsid w:val="00C92E73"/>
    <w:rsid w:val="00C93A59"/>
    <w:rsid w:val="00C95B06"/>
    <w:rsid w:val="00C967EC"/>
    <w:rsid w:val="00C96D55"/>
    <w:rsid w:val="00C97338"/>
    <w:rsid w:val="00CA036F"/>
    <w:rsid w:val="00CA07CD"/>
    <w:rsid w:val="00CA2E6A"/>
    <w:rsid w:val="00CA3258"/>
    <w:rsid w:val="00CA5530"/>
    <w:rsid w:val="00CA589B"/>
    <w:rsid w:val="00CA5BAC"/>
    <w:rsid w:val="00CA6856"/>
    <w:rsid w:val="00CB0003"/>
    <w:rsid w:val="00CB0CF1"/>
    <w:rsid w:val="00CB1CF1"/>
    <w:rsid w:val="00CB2825"/>
    <w:rsid w:val="00CB2AB4"/>
    <w:rsid w:val="00CB3E1F"/>
    <w:rsid w:val="00CB50D0"/>
    <w:rsid w:val="00CB5848"/>
    <w:rsid w:val="00CB5A10"/>
    <w:rsid w:val="00CB6070"/>
    <w:rsid w:val="00CB7243"/>
    <w:rsid w:val="00CB777F"/>
    <w:rsid w:val="00CB799C"/>
    <w:rsid w:val="00CC0884"/>
    <w:rsid w:val="00CC1C37"/>
    <w:rsid w:val="00CC1C5B"/>
    <w:rsid w:val="00CC3057"/>
    <w:rsid w:val="00CC418F"/>
    <w:rsid w:val="00CC4DD6"/>
    <w:rsid w:val="00CC4EED"/>
    <w:rsid w:val="00CC7EFD"/>
    <w:rsid w:val="00CD1CE9"/>
    <w:rsid w:val="00CD234A"/>
    <w:rsid w:val="00CD29CA"/>
    <w:rsid w:val="00CD3BE8"/>
    <w:rsid w:val="00CD4669"/>
    <w:rsid w:val="00CD4DFE"/>
    <w:rsid w:val="00CD5DB2"/>
    <w:rsid w:val="00CD7370"/>
    <w:rsid w:val="00CE14E8"/>
    <w:rsid w:val="00CE1B83"/>
    <w:rsid w:val="00CE2C86"/>
    <w:rsid w:val="00CE5CA7"/>
    <w:rsid w:val="00CE60C8"/>
    <w:rsid w:val="00CE61FB"/>
    <w:rsid w:val="00CE6296"/>
    <w:rsid w:val="00CE6355"/>
    <w:rsid w:val="00CE715F"/>
    <w:rsid w:val="00CE7C2A"/>
    <w:rsid w:val="00CF0BD7"/>
    <w:rsid w:val="00CF2F4D"/>
    <w:rsid w:val="00CF48D9"/>
    <w:rsid w:val="00CF571C"/>
    <w:rsid w:val="00CF5C86"/>
    <w:rsid w:val="00CF5CD3"/>
    <w:rsid w:val="00CF5F67"/>
    <w:rsid w:val="00CF63A7"/>
    <w:rsid w:val="00CF676B"/>
    <w:rsid w:val="00D00445"/>
    <w:rsid w:val="00D009B2"/>
    <w:rsid w:val="00D01938"/>
    <w:rsid w:val="00D01B3F"/>
    <w:rsid w:val="00D024C4"/>
    <w:rsid w:val="00D0289B"/>
    <w:rsid w:val="00D03A2B"/>
    <w:rsid w:val="00D03C23"/>
    <w:rsid w:val="00D10BAD"/>
    <w:rsid w:val="00D11D84"/>
    <w:rsid w:val="00D1356C"/>
    <w:rsid w:val="00D1541F"/>
    <w:rsid w:val="00D169EB"/>
    <w:rsid w:val="00D17647"/>
    <w:rsid w:val="00D1780C"/>
    <w:rsid w:val="00D21DC2"/>
    <w:rsid w:val="00D22AFF"/>
    <w:rsid w:val="00D2331E"/>
    <w:rsid w:val="00D238FE"/>
    <w:rsid w:val="00D23A90"/>
    <w:rsid w:val="00D23AA7"/>
    <w:rsid w:val="00D24828"/>
    <w:rsid w:val="00D2540D"/>
    <w:rsid w:val="00D25DB2"/>
    <w:rsid w:val="00D2647B"/>
    <w:rsid w:val="00D27E63"/>
    <w:rsid w:val="00D3119B"/>
    <w:rsid w:val="00D317DF"/>
    <w:rsid w:val="00D31B54"/>
    <w:rsid w:val="00D32063"/>
    <w:rsid w:val="00D32353"/>
    <w:rsid w:val="00D3268F"/>
    <w:rsid w:val="00D32762"/>
    <w:rsid w:val="00D34F80"/>
    <w:rsid w:val="00D35100"/>
    <w:rsid w:val="00D35A3C"/>
    <w:rsid w:val="00D402CE"/>
    <w:rsid w:val="00D4053A"/>
    <w:rsid w:val="00D4124F"/>
    <w:rsid w:val="00D41A9C"/>
    <w:rsid w:val="00D42795"/>
    <w:rsid w:val="00D44735"/>
    <w:rsid w:val="00D467FC"/>
    <w:rsid w:val="00D47FDA"/>
    <w:rsid w:val="00D50229"/>
    <w:rsid w:val="00D50477"/>
    <w:rsid w:val="00D50927"/>
    <w:rsid w:val="00D51EB6"/>
    <w:rsid w:val="00D51F77"/>
    <w:rsid w:val="00D5290A"/>
    <w:rsid w:val="00D538F9"/>
    <w:rsid w:val="00D53F83"/>
    <w:rsid w:val="00D548DA"/>
    <w:rsid w:val="00D566F7"/>
    <w:rsid w:val="00D56F12"/>
    <w:rsid w:val="00D57B44"/>
    <w:rsid w:val="00D605FA"/>
    <w:rsid w:val="00D6082A"/>
    <w:rsid w:val="00D61519"/>
    <w:rsid w:val="00D61BFE"/>
    <w:rsid w:val="00D63D17"/>
    <w:rsid w:val="00D663AD"/>
    <w:rsid w:val="00D66930"/>
    <w:rsid w:val="00D66DCF"/>
    <w:rsid w:val="00D67F72"/>
    <w:rsid w:val="00D715DB"/>
    <w:rsid w:val="00D71CE0"/>
    <w:rsid w:val="00D76340"/>
    <w:rsid w:val="00D76545"/>
    <w:rsid w:val="00D76C2A"/>
    <w:rsid w:val="00D7709C"/>
    <w:rsid w:val="00D80A74"/>
    <w:rsid w:val="00D8106E"/>
    <w:rsid w:val="00D8184A"/>
    <w:rsid w:val="00D82C7F"/>
    <w:rsid w:val="00D84501"/>
    <w:rsid w:val="00D84AC8"/>
    <w:rsid w:val="00D85A11"/>
    <w:rsid w:val="00D869FA"/>
    <w:rsid w:val="00D8702D"/>
    <w:rsid w:val="00D901A3"/>
    <w:rsid w:val="00D90602"/>
    <w:rsid w:val="00D91602"/>
    <w:rsid w:val="00D91771"/>
    <w:rsid w:val="00D92202"/>
    <w:rsid w:val="00D9261B"/>
    <w:rsid w:val="00D97611"/>
    <w:rsid w:val="00D97A21"/>
    <w:rsid w:val="00D97E3F"/>
    <w:rsid w:val="00DA05BF"/>
    <w:rsid w:val="00DA3005"/>
    <w:rsid w:val="00DA3019"/>
    <w:rsid w:val="00DA3258"/>
    <w:rsid w:val="00DA6467"/>
    <w:rsid w:val="00DA6BDB"/>
    <w:rsid w:val="00DA7247"/>
    <w:rsid w:val="00DA76DD"/>
    <w:rsid w:val="00DA7AC4"/>
    <w:rsid w:val="00DA7B0A"/>
    <w:rsid w:val="00DB09C0"/>
    <w:rsid w:val="00DB0F6C"/>
    <w:rsid w:val="00DB1291"/>
    <w:rsid w:val="00DB18ED"/>
    <w:rsid w:val="00DB1C1F"/>
    <w:rsid w:val="00DB39BE"/>
    <w:rsid w:val="00DB3D8A"/>
    <w:rsid w:val="00DB4774"/>
    <w:rsid w:val="00DB4AF6"/>
    <w:rsid w:val="00DB5200"/>
    <w:rsid w:val="00DB5AD4"/>
    <w:rsid w:val="00DB7AE9"/>
    <w:rsid w:val="00DB7C04"/>
    <w:rsid w:val="00DC0479"/>
    <w:rsid w:val="00DC0F2A"/>
    <w:rsid w:val="00DC1A2B"/>
    <w:rsid w:val="00DC3244"/>
    <w:rsid w:val="00DC4F25"/>
    <w:rsid w:val="00DC5541"/>
    <w:rsid w:val="00DD0868"/>
    <w:rsid w:val="00DD0A15"/>
    <w:rsid w:val="00DD1AF6"/>
    <w:rsid w:val="00DD37D4"/>
    <w:rsid w:val="00DD4CFD"/>
    <w:rsid w:val="00DD5B04"/>
    <w:rsid w:val="00DD5FF0"/>
    <w:rsid w:val="00DD63AD"/>
    <w:rsid w:val="00DD7308"/>
    <w:rsid w:val="00DE02B0"/>
    <w:rsid w:val="00DE04F8"/>
    <w:rsid w:val="00DE0911"/>
    <w:rsid w:val="00DE0FFF"/>
    <w:rsid w:val="00DE15B3"/>
    <w:rsid w:val="00DE1A7A"/>
    <w:rsid w:val="00DE1C3B"/>
    <w:rsid w:val="00DE1D20"/>
    <w:rsid w:val="00DE1EA4"/>
    <w:rsid w:val="00DE2FCC"/>
    <w:rsid w:val="00DE3091"/>
    <w:rsid w:val="00DE3F1F"/>
    <w:rsid w:val="00DE4C65"/>
    <w:rsid w:val="00DE54E5"/>
    <w:rsid w:val="00DE554B"/>
    <w:rsid w:val="00DE5C63"/>
    <w:rsid w:val="00DE6087"/>
    <w:rsid w:val="00DE60F2"/>
    <w:rsid w:val="00DE66CB"/>
    <w:rsid w:val="00DE6880"/>
    <w:rsid w:val="00DE6BB2"/>
    <w:rsid w:val="00DE711D"/>
    <w:rsid w:val="00DE714F"/>
    <w:rsid w:val="00DE72B6"/>
    <w:rsid w:val="00DE74AE"/>
    <w:rsid w:val="00DE771E"/>
    <w:rsid w:val="00DE7D7C"/>
    <w:rsid w:val="00DF11D7"/>
    <w:rsid w:val="00DF416B"/>
    <w:rsid w:val="00DF4626"/>
    <w:rsid w:val="00DF472C"/>
    <w:rsid w:val="00DF4C96"/>
    <w:rsid w:val="00DF5C84"/>
    <w:rsid w:val="00DF6B5B"/>
    <w:rsid w:val="00E00F01"/>
    <w:rsid w:val="00E01424"/>
    <w:rsid w:val="00E049FB"/>
    <w:rsid w:val="00E05FE4"/>
    <w:rsid w:val="00E06314"/>
    <w:rsid w:val="00E077C7"/>
    <w:rsid w:val="00E10300"/>
    <w:rsid w:val="00E10848"/>
    <w:rsid w:val="00E116DC"/>
    <w:rsid w:val="00E13835"/>
    <w:rsid w:val="00E13911"/>
    <w:rsid w:val="00E1457D"/>
    <w:rsid w:val="00E1467C"/>
    <w:rsid w:val="00E14764"/>
    <w:rsid w:val="00E14870"/>
    <w:rsid w:val="00E154D9"/>
    <w:rsid w:val="00E164D3"/>
    <w:rsid w:val="00E170CF"/>
    <w:rsid w:val="00E1715D"/>
    <w:rsid w:val="00E17C97"/>
    <w:rsid w:val="00E207C2"/>
    <w:rsid w:val="00E21250"/>
    <w:rsid w:val="00E22375"/>
    <w:rsid w:val="00E233EA"/>
    <w:rsid w:val="00E255F0"/>
    <w:rsid w:val="00E301F0"/>
    <w:rsid w:val="00E3044D"/>
    <w:rsid w:val="00E304B3"/>
    <w:rsid w:val="00E3080E"/>
    <w:rsid w:val="00E33471"/>
    <w:rsid w:val="00E33A08"/>
    <w:rsid w:val="00E359C7"/>
    <w:rsid w:val="00E3699E"/>
    <w:rsid w:val="00E3732B"/>
    <w:rsid w:val="00E37B65"/>
    <w:rsid w:val="00E40026"/>
    <w:rsid w:val="00E417F9"/>
    <w:rsid w:val="00E424DD"/>
    <w:rsid w:val="00E42D36"/>
    <w:rsid w:val="00E43588"/>
    <w:rsid w:val="00E43BDA"/>
    <w:rsid w:val="00E448B6"/>
    <w:rsid w:val="00E44BFE"/>
    <w:rsid w:val="00E44DF7"/>
    <w:rsid w:val="00E45572"/>
    <w:rsid w:val="00E464FD"/>
    <w:rsid w:val="00E51420"/>
    <w:rsid w:val="00E536E8"/>
    <w:rsid w:val="00E53DA9"/>
    <w:rsid w:val="00E5455E"/>
    <w:rsid w:val="00E54567"/>
    <w:rsid w:val="00E54B23"/>
    <w:rsid w:val="00E55A11"/>
    <w:rsid w:val="00E55D4E"/>
    <w:rsid w:val="00E5638F"/>
    <w:rsid w:val="00E56F89"/>
    <w:rsid w:val="00E56FFF"/>
    <w:rsid w:val="00E57422"/>
    <w:rsid w:val="00E6049B"/>
    <w:rsid w:val="00E62064"/>
    <w:rsid w:val="00E65B8C"/>
    <w:rsid w:val="00E6690C"/>
    <w:rsid w:val="00E669CA"/>
    <w:rsid w:val="00E670A9"/>
    <w:rsid w:val="00E67B8D"/>
    <w:rsid w:val="00E67C4D"/>
    <w:rsid w:val="00E67E51"/>
    <w:rsid w:val="00E70D9E"/>
    <w:rsid w:val="00E72395"/>
    <w:rsid w:val="00E7307E"/>
    <w:rsid w:val="00E73522"/>
    <w:rsid w:val="00E7477F"/>
    <w:rsid w:val="00E74AFA"/>
    <w:rsid w:val="00E74B3E"/>
    <w:rsid w:val="00E75AC2"/>
    <w:rsid w:val="00E76E6D"/>
    <w:rsid w:val="00E774D4"/>
    <w:rsid w:val="00E815E9"/>
    <w:rsid w:val="00E8224D"/>
    <w:rsid w:val="00E82F7C"/>
    <w:rsid w:val="00E83E06"/>
    <w:rsid w:val="00E83FDD"/>
    <w:rsid w:val="00E845DC"/>
    <w:rsid w:val="00E8473A"/>
    <w:rsid w:val="00E85DBE"/>
    <w:rsid w:val="00E86D53"/>
    <w:rsid w:val="00E9011C"/>
    <w:rsid w:val="00E912C6"/>
    <w:rsid w:val="00E91702"/>
    <w:rsid w:val="00E91C0C"/>
    <w:rsid w:val="00E927D9"/>
    <w:rsid w:val="00E92D81"/>
    <w:rsid w:val="00E9431F"/>
    <w:rsid w:val="00E94A9A"/>
    <w:rsid w:val="00E9591E"/>
    <w:rsid w:val="00E95AF0"/>
    <w:rsid w:val="00E95B2E"/>
    <w:rsid w:val="00E96291"/>
    <w:rsid w:val="00E97E40"/>
    <w:rsid w:val="00EA07B0"/>
    <w:rsid w:val="00EA08D3"/>
    <w:rsid w:val="00EA0E56"/>
    <w:rsid w:val="00EA183F"/>
    <w:rsid w:val="00EA247B"/>
    <w:rsid w:val="00EA2898"/>
    <w:rsid w:val="00EA2A67"/>
    <w:rsid w:val="00EA2AB0"/>
    <w:rsid w:val="00EA2D89"/>
    <w:rsid w:val="00EA33B3"/>
    <w:rsid w:val="00EA5753"/>
    <w:rsid w:val="00EA5CE6"/>
    <w:rsid w:val="00EA6100"/>
    <w:rsid w:val="00EA681A"/>
    <w:rsid w:val="00EA700E"/>
    <w:rsid w:val="00EB0745"/>
    <w:rsid w:val="00EB148A"/>
    <w:rsid w:val="00EB1774"/>
    <w:rsid w:val="00EB1A5E"/>
    <w:rsid w:val="00EB2C50"/>
    <w:rsid w:val="00EB35FA"/>
    <w:rsid w:val="00EB3BAB"/>
    <w:rsid w:val="00EB480F"/>
    <w:rsid w:val="00EC0851"/>
    <w:rsid w:val="00EC1D74"/>
    <w:rsid w:val="00EC2DA3"/>
    <w:rsid w:val="00EC3C1E"/>
    <w:rsid w:val="00EC402A"/>
    <w:rsid w:val="00EC4A6B"/>
    <w:rsid w:val="00EC60A7"/>
    <w:rsid w:val="00EC70F7"/>
    <w:rsid w:val="00ED1260"/>
    <w:rsid w:val="00ED15F3"/>
    <w:rsid w:val="00ED2D93"/>
    <w:rsid w:val="00ED3123"/>
    <w:rsid w:val="00ED40DD"/>
    <w:rsid w:val="00ED540D"/>
    <w:rsid w:val="00ED7F87"/>
    <w:rsid w:val="00EE0B19"/>
    <w:rsid w:val="00EE181D"/>
    <w:rsid w:val="00EE2022"/>
    <w:rsid w:val="00EE4649"/>
    <w:rsid w:val="00EE4DCC"/>
    <w:rsid w:val="00EE7B0B"/>
    <w:rsid w:val="00EF2FAD"/>
    <w:rsid w:val="00EF3EAF"/>
    <w:rsid w:val="00EF4026"/>
    <w:rsid w:val="00EF4EC7"/>
    <w:rsid w:val="00EF5316"/>
    <w:rsid w:val="00EF5613"/>
    <w:rsid w:val="00EF5748"/>
    <w:rsid w:val="00F01EAB"/>
    <w:rsid w:val="00F035E0"/>
    <w:rsid w:val="00F03656"/>
    <w:rsid w:val="00F049F4"/>
    <w:rsid w:val="00F05492"/>
    <w:rsid w:val="00F05944"/>
    <w:rsid w:val="00F05B75"/>
    <w:rsid w:val="00F066F3"/>
    <w:rsid w:val="00F105C8"/>
    <w:rsid w:val="00F11394"/>
    <w:rsid w:val="00F12D05"/>
    <w:rsid w:val="00F13BB6"/>
    <w:rsid w:val="00F13BE1"/>
    <w:rsid w:val="00F150EE"/>
    <w:rsid w:val="00F154A1"/>
    <w:rsid w:val="00F16348"/>
    <w:rsid w:val="00F16D89"/>
    <w:rsid w:val="00F16F86"/>
    <w:rsid w:val="00F24025"/>
    <w:rsid w:val="00F25AF5"/>
    <w:rsid w:val="00F25DD8"/>
    <w:rsid w:val="00F261FA"/>
    <w:rsid w:val="00F2630A"/>
    <w:rsid w:val="00F279CC"/>
    <w:rsid w:val="00F27AB2"/>
    <w:rsid w:val="00F307C4"/>
    <w:rsid w:val="00F31D01"/>
    <w:rsid w:val="00F32D03"/>
    <w:rsid w:val="00F3356A"/>
    <w:rsid w:val="00F3473F"/>
    <w:rsid w:val="00F35522"/>
    <w:rsid w:val="00F376C5"/>
    <w:rsid w:val="00F37862"/>
    <w:rsid w:val="00F4172B"/>
    <w:rsid w:val="00F41967"/>
    <w:rsid w:val="00F421EF"/>
    <w:rsid w:val="00F4415B"/>
    <w:rsid w:val="00F44F60"/>
    <w:rsid w:val="00F4595A"/>
    <w:rsid w:val="00F45D0B"/>
    <w:rsid w:val="00F46D82"/>
    <w:rsid w:val="00F523CA"/>
    <w:rsid w:val="00F52796"/>
    <w:rsid w:val="00F52ED7"/>
    <w:rsid w:val="00F52EFF"/>
    <w:rsid w:val="00F530CF"/>
    <w:rsid w:val="00F54334"/>
    <w:rsid w:val="00F54C90"/>
    <w:rsid w:val="00F566C9"/>
    <w:rsid w:val="00F56A03"/>
    <w:rsid w:val="00F57E90"/>
    <w:rsid w:val="00F6002E"/>
    <w:rsid w:val="00F60148"/>
    <w:rsid w:val="00F60EEA"/>
    <w:rsid w:val="00F6228B"/>
    <w:rsid w:val="00F62DB1"/>
    <w:rsid w:val="00F6387F"/>
    <w:rsid w:val="00F64314"/>
    <w:rsid w:val="00F645CB"/>
    <w:rsid w:val="00F67816"/>
    <w:rsid w:val="00F67A06"/>
    <w:rsid w:val="00F703D3"/>
    <w:rsid w:val="00F71A17"/>
    <w:rsid w:val="00F71D1E"/>
    <w:rsid w:val="00F71D63"/>
    <w:rsid w:val="00F730E4"/>
    <w:rsid w:val="00F734FE"/>
    <w:rsid w:val="00F744C0"/>
    <w:rsid w:val="00F74826"/>
    <w:rsid w:val="00F76264"/>
    <w:rsid w:val="00F8087F"/>
    <w:rsid w:val="00F81C32"/>
    <w:rsid w:val="00F81E90"/>
    <w:rsid w:val="00F84305"/>
    <w:rsid w:val="00F84FBE"/>
    <w:rsid w:val="00F856A8"/>
    <w:rsid w:val="00F85DEF"/>
    <w:rsid w:val="00F86A4F"/>
    <w:rsid w:val="00F921F8"/>
    <w:rsid w:val="00F92D9A"/>
    <w:rsid w:val="00F9617A"/>
    <w:rsid w:val="00F965F0"/>
    <w:rsid w:val="00F969A9"/>
    <w:rsid w:val="00F973D4"/>
    <w:rsid w:val="00FA0647"/>
    <w:rsid w:val="00FA105D"/>
    <w:rsid w:val="00FA15BC"/>
    <w:rsid w:val="00FA2243"/>
    <w:rsid w:val="00FA23A0"/>
    <w:rsid w:val="00FA3328"/>
    <w:rsid w:val="00FA3FAD"/>
    <w:rsid w:val="00FA452E"/>
    <w:rsid w:val="00FA5A2D"/>
    <w:rsid w:val="00FA5E28"/>
    <w:rsid w:val="00FA6600"/>
    <w:rsid w:val="00FA6BE1"/>
    <w:rsid w:val="00FA6E7F"/>
    <w:rsid w:val="00FB0A34"/>
    <w:rsid w:val="00FB0F20"/>
    <w:rsid w:val="00FB11DB"/>
    <w:rsid w:val="00FB126F"/>
    <w:rsid w:val="00FB261D"/>
    <w:rsid w:val="00FB33D4"/>
    <w:rsid w:val="00FB4024"/>
    <w:rsid w:val="00FB4F8A"/>
    <w:rsid w:val="00FB50BC"/>
    <w:rsid w:val="00FB7867"/>
    <w:rsid w:val="00FB7D75"/>
    <w:rsid w:val="00FC0462"/>
    <w:rsid w:val="00FC16C7"/>
    <w:rsid w:val="00FC2354"/>
    <w:rsid w:val="00FC3039"/>
    <w:rsid w:val="00FC3C7F"/>
    <w:rsid w:val="00FC4A24"/>
    <w:rsid w:val="00FC5430"/>
    <w:rsid w:val="00FC674B"/>
    <w:rsid w:val="00FC6D46"/>
    <w:rsid w:val="00FC72DA"/>
    <w:rsid w:val="00FD06D9"/>
    <w:rsid w:val="00FD0BAB"/>
    <w:rsid w:val="00FD0ECB"/>
    <w:rsid w:val="00FD270C"/>
    <w:rsid w:val="00FD27A2"/>
    <w:rsid w:val="00FD28AD"/>
    <w:rsid w:val="00FD2973"/>
    <w:rsid w:val="00FD381A"/>
    <w:rsid w:val="00FD3B3A"/>
    <w:rsid w:val="00FD52FD"/>
    <w:rsid w:val="00FD5481"/>
    <w:rsid w:val="00FD5C95"/>
    <w:rsid w:val="00FD7225"/>
    <w:rsid w:val="00FD7A0C"/>
    <w:rsid w:val="00FE1E27"/>
    <w:rsid w:val="00FE2098"/>
    <w:rsid w:val="00FE2956"/>
    <w:rsid w:val="00FE544D"/>
    <w:rsid w:val="00FF14B5"/>
    <w:rsid w:val="00FF1916"/>
    <w:rsid w:val="00FF1FFD"/>
    <w:rsid w:val="00FF291D"/>
    <w:rsid w:val="00FF312E"/>
    <w:rsid w:val="00FF4AC5"/>
    <w:rsid w:val="00FF52DE"/>
    <w:rsid w:val="00FF5376"/>
    <w:rsid w:val="00FF677F"/>
    <w:rsid w:val="00FF67B1"/>
    <w:rsid w:val="00FF690D"/>
    <w:rsid w:val="00FF6F3B"/>
    <w:rsid w:val="00FF7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before="240" w:after="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5B9A"/>
    <w:pPr>
      <w:spacing w:before="0" w:after="0"/>
      <w:jc w:val="both"/>
    </w:pPr>
    <w:rPr>
      <w:rFonts w:ascii="Times New Roman" w:hAnsi="Times New Roman"/>
      <w:color w:val="000000" w:themeColor="text1"/>
    </w:rPr>
  </w:style>
  <w:style w:type="paragraph" w:styleId="Titolo1">
    <w:name w:val="heading 1"/>
    <w:basedOn w:val="Normale"/>
    <w:next w:val="Normale"/>
    <w:link w:val="Titolo1Carattere"/>
    <w:uiPriority w:val="9"/>
    <w:qFormat/>
    <w:rsid w:val="00795C3C"/>
    <w:pPr>
      <w:widowControl w:val="0"/>
      <w:jc w:val="center"/>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EA247B"/>
    <w:pPr>
      <w:widowControl w:val="0"/>
      <w:spacing w:after="120"/>
      <w:jc w:val="center"/>
      <w:outlineLvl w:val="1"/>
    </w:pPr>
    <w:rPr>
      <w:rFonts w:eastAsia="Times New Roman" w:cs="Times New Roman"/>
      <w:b/>
      <w:bCs/>
      <w:i/>
      <w:iCs/>
      <w:szCs w:val="28"/>
      <w:lang w:eastAsia="it-IT"/>
    </w:rPr>
  </w:style>
  <w:style w:type="paragraph" w:styleId="Titolo3">
    <w:name w:val="heading 3"/>
    <w:basedOn w:val="Normale"/>
    <w:next w:val="Normale"/>
    <w:link w:val="Titolo3Carattere"/>
    <w:uiPriority w:val="9"/>
    <w:unhideWhenUsed/>
    <w:qFormat/>
    <w:rsid w:val="007B3EE5"/>
    <w:pPr>
      <w:widowControl w:val="0"/>
      <w:jc w:val="center"/>
      <w:outlineLvl w:val="2"/>
    </w:pPr>
    <w:rPr>
      <w:rFonts w:eastAsiaTheme="majorEastAsia" w:cstheme="majorBidi"/>
      <w:b/>
      <w:bCs/>
      <w:i/>
      <w:color w:val="auto"/>
    </w:rPr>
  </w:style>
  <w:style w:type="paragraph" w:styleId="Titolo4">
    <w:name w:val="heading 4"/>
    <w:basedOn w:val="Normale"/>
    <w:next w:val="Normale"/>
    <w:link w:val="Titolo4Carattere"/>
    <w:uiPriority w:val="9"/>
    <w:unhideWhenUsed/>
    <w:qFormat/>
    <w:rsid w:val="002078A3"/>
    <w:pPr>
      <w:keepNext/>
      <w:keepLines/>
      <w:spacing w:before="20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semiHidden/>
    <w:unhideWhenUsed/>
    <w:qFormat/>
    <w:rsid w:val="00447550"/>
    <w:pPr>
      <w:keepNext/>
      <w:keepLines/>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D009B2"/>
    <w:pPr>
      <w:keepNext/>
      <w:keepLines/>
      <w:spacing w:before="4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F4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Punto elenco 1,Paragraphe EI,Paragraphe de liste1,EC"/>
    <w:basedOn w:val="Normale"/>
    <w:link w:val="ParagrafoelencoCarattere"/>
    <w:uiPriority w:val="34"/>
    <w:qFormat/>
    <w:rsid w:val="0079036E"/>
    <w:pPr>
      <w:spacing w:after="200" w:line="276" w:lineRule="auto"/>
      <w:ind w:left="720"/>
      <w:contextualSpacing/>
    </w:pPr>
    <w:rPr>
      <w:rFonts w:ascii="Calibri" w:eastAsia="Calibri" w:hAnsi="Calibri" w:cs="Times New Roman"/>
      <w:lang w:val="en-US"/>
    </w:rPr>
  </w:style>
  <w:style w:type="paragraph" w:styleId="Testonotaapidipagina">
    <w:name w:val="footnote text"/>
    <w:basedOn w:val="Normale"/>
    <w:link w:val="TestonotaapidipaginaCarattere"/>
    <w:uiPriority w:val="99"/>
    <w:unhideWhenUsed/>
    <w:rsid w:val="0079036E"/>
    <w:rPr>
      <w:rFonts w:ascii="Arial" w:eastAsia="Times New Roman" w:hAnsi="Arial"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79036E"/>
    <w:rPr>
      <w:rFonts w:ascii="Arial" w:eastAsia="Times New Roman" w:hAnsi="Arial" w:cs="Times New Roman"/>
      <w:sz w:val="20"/>
      <w:szCs w:val="20"/>
      <w:lang w:eastAsia="it-IT"/>
    </w:rPr>
  </w:style>
  <w:style w:type="character" w:styleId="Rimandonotaapidipagina">
    <w:name w:val="footnote reference"/>
    <w:uiPriority w:val="99"/>
    <w:unhideWhenUsed/>
    <w:rsid w:val="0079036E"/>
    <w:rPr>
      <w:vertAlign w:val="superscript"/>
    </w:rPr>
  </w:style>
  <w:style w:type="paragraph" w:styleId="NormaleWeb">
    <w:name w:val="Normal (Web)"/>
    <w:basedOn w:val="Normale"/>
    <w:uiPriority w:val="99"/>
    <w:unhideWhenUsed/>
    <w:rsid w:val="006B0877"/>
    <w:pPr>
      <w:spacing w:before="100" w:beforeAutospacing="1" w:after="100" w:afterAutospacing="1"/>
    </w:pPr>
    <w:rPr>
      <w:rFonts w:cs="Times New Roman"/>
      <w:sz w:val="24"/>
      <w:szCs w:val="24"/>
      <w:lang w:val="en-US"/>
    </w:rPr>
  </w:style>
  <w:style w:type="paragraph" w:styleId="Testofumetto">
    <w:name w:val="Balloon Text"/>
    <w:basedOn w:val="Normale"/>
    <w:link w:val="TestofumettoCarattere"/>
    <w:uiPriority w:val="99"/>
    <w:semiHidden/>
    <w:unhideWhenUsed/>
    <w:rsid w:val="0012129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21298"/>
    <w:rPr>
      <w:rFonts w:ascii="Segoe UI" w:hAnsi="Segoe UI" w:cs="Segoe UI"/>
      <w:sz w:val="18"/>
      <w:szCs w:val="18"/>
    </w:rPr>
  </w:style>
  <w:style w:type="paragraph" w:styleId="Intestazione">
    <w:name w:val="header"/>
    <w:basedOn w:val="Normale"/>
    <w:link w:val="IntestazioneCarattere"/>
    <w:uiPriority w:val="99"/>
    <w:unhideWhenUsed/>
    <w:rsid w:val="00C57672"/>
    <w:pPr>
      <w:tabs>
        <w:tab w:val="center" w:pos="4819"/>
        <w:tab w:val="right" w:pos="9638"/>
      </w:tabs>
    </w:pPr>
  </w:style>
  <w:style w:type="character" w:customStyle="1" w:styleId="IntestazioneCarattere">
    <w:name w:val="Intestazione Carattere"/>
    <w:basedOn w:val="Carpredefinitoparagrafo"/>
    <w:link w:val="Intestazione"/>
    <w:uiPriority w:val="99"/>
    <w:rsid w:val="00C57672"/>
  </w:style>
  <w:style w:type="paragraph" w:styleId="Pidipagina">
    <w:name w:val="footer"/>
    <w:basedOn w:val="Normale"/>
    <w:link w:val="PidipaginaCarattere"/>
    <w:uiPriority w:val="99"/>
    <w:unhideWhenUsed/>
    <w:rsid w:val="00C57672"/>
    <w:pPr>
      <w:tabs>
        <w:tab w:val="center" w:pos="4819"/>
        <w:tab w:val="right" w:pos="9638"/>
      </w:tabs>
    </w:pPr>
  </w:style>
  <w:style w:type="character" w:customStyle="1" w:styleId="PidipaginaCarattere">
    <w:name w:val="Piè di pagina Carattere"/>
    <w:basedOn w:val="Carpredefinitoparagrafo"/>
    <w:link w:val="Pidipagina"/>
    <w:uiPriority w:val="99"/>
    <w:rsid w:val="00C57672"/>
  </w:style>
  <w:style w:type="character" w:styleId="Rimandocommento">
    <w:name w:val="annotation reference"/>
    <w:basedOn w:val="Carpredefinitoparagrafo"/>
    <w:uiPriority w:val="99"/>
    <w:semiHidden/>
    <w:unhideWhenUsed/>
    <w:rsid w:val="008958A9"/>
    <w:rPr>
      <w:sz w:val="16"/>
      <w:szCs w:val="16"/>
    </w:rPr>
  </w:style>
  <w:style w:type="paragraph" w:styleId="Testocommento">
    <w:name w:val="annotation text"/>
    <w:basedOn w:val="Normale"/>
    <w:link w:val="TestocommentoCarattere"/>
    <w:uiPriority w:val="99"/>
    <w:unhideWhenUsed/>
    <w:rsid w:val="008958A9"/>
    <w:rPr>
      <w:sz w:val="20"/>
      <w:szCs w:val="20"/>
    </w:rPr>
  </w:style>
  <w:style w:type="character" w:customStyle="1" w:styleId="TestocommentoCarattere">
    <w:name w:val="Testo commento Carattere"/>
    <w:basedOn w:val="Carpredefinitoparagrafo"/>
    <w:link w:val="Testocommento"/>
    <w:uiPriority w:val="99"/>
    <w:rsid w:val="008958A9"/>
    <w:rPr>
      <w:sz w:val="20"/>
      <w:szCs w:val="20"/>
    </w:rPr>
  </w:style>
  <w:style w:type="paragraph" w:styleId="Soggettocommento">
    <w:name w:val="annotation subject"/>
    <w:basedOn w:val="Testocommento"/>
    <w:next w:val="Testocommento"/>
    <w:link w:val="SoggettocommentoCarattere"/>
    <w:uiPriority w:val="99"/>
    <w:semiHidden/>
    <w:unhideWhenUsed/>
    <w:rsid w:val="008958A9"/>
    <w:rPr>
      <w:b/>
      <w:bCs/>
    </w:rPr>
  </w:style>
  <w:style w:type="character" w:customStyle="1" w:styleId="SoggettocommentoCarattere">
    <w:name w:val="Soggetto commento Carattere"/>
    <w:basedOn w:val="TestocommentoCarattere"/>
    <w:link w:val="Soggettocommento"/>
    <w:uiPriority w:val="99"/>
    <w:semiHidden/>
    <w:rsid w:val="008958A9"/>
    <w:rPr>
      <w:b/>
      <w:bCs/>
      <w:sz w:val="20"/>
      <w:szCs w:val="20"/>
    </w:rPr>
  </w:style>
  <w:style w:type="paragraph" w:customStyle="1" w:styleId="Capitolo">
    <w:name w:val="Capitolo"/>
    <w:basedOn w:val="Normale"/>
    <w:rsid w:val="00044C4F"/>
    <w:rPr>
      <w:rFonts w:ascii="Verdana" w:eastAsia="Times New Roman" w:hAnsi="Verdana" w:cs="Times New Roman"/>
      <w:b/>
      <w:color w:val="002F63"/>
      <w:sz w:val="28"/>
      <w:szCs w:val="24"/>
      <w:lang w:eastAsia="it-IT"/>
    </w:rPr>
  </w:style>
  <w:style w:type="character" w:customStyle="1" w:styleId="Titolo2Carattere">
    <w:name w:val="Titolo 2 Carattere"/>
    <w:basedOn w:val="Carpredefinitoparagrafo"/>
    <w:link w:val="Titolo2"/>
    <w:uiPriority w:val="9"/>
    <w:rsid w:val="00EA247B"/>
    <w:rPr>
      <w:rFonts w:ascii="Times New Roman" w:eastAsia="Times New Roman" w:hAnsi="Times New Roman" w:cs="Times New Roman"/>
      <w:b/>
      <w:bCs/>
      <w:i/>
      <w:iCs/>
      <w:color w:val="000000" w:themeColor="text1"/>
      <w:szCs w:val="28"/>
      <w:lang w:eastAsia="it-IT"/>
    </w:rPr>
  </w:style>
  <w:style w:type="paragraph" w:styleId="Testonormale">
    <w:name w:val="Plain Text"/>
    <w:basedOn w:val="Normale"/>
    <w:link w:val="TestonormaleCarattere"/>
    <w:uiPriority w:val="99"/>
    <w:unhideWhenUsed/>
    <w:rsid w:val="00AC1E6D"/>
    <w:rPr>
      <w:rFonts w:ascii="Consolas" w:hAnsi="Consolas"/>
      <w:sz w:val="21"/>
      <w:szCs w:val="21"/>
    </w:rPr>
  </w:style>
  <w:style w:type="character" w:customStyle="1" w:styleId="TestonormaleCarattere">
    <w:name w:val="Testo normale Carattere"/>
    <w:basedOn w:val="Carpredefinitoparagrafo"/>
    <w:link w:val="Testonormale"/>
    <w:uiPriority w:val="99"/>
    <w:rsid w:val="00AC1E6D"/>
    <w:rPr>
      <w:rFonts w:ascii="Consolas" w:hAnsi="Consolas"/>
      <w:sz w:val="21"/>
      <w:szCs w:val="21"/>
    </w:rPr>
  </w:style>
  <w:style w:type="character" w:styleId="Collegamentoipertestuale">
    <w:name w:val="Hyperlink"/>
    <w:basedOn w:val="Carpredefinitoparagrafo"/>
    <w:uiPriority w:val="99"/>
    <w:unhideWhenUsed/>
    <w:rsid w:val="00DD4CFD"/>
    <w:rPr>
      <w:color w:val="0000FF"/>
      <w:u w:val="single"/>
    </w:rPr>
  </w:style>
  <w:style w:type="character" w:customStyle="1" w:styleId="ParagrafoelencoCarattere">
    <w:name w:val="Paragrafo elenco Carattere"/>
    <w:aliases w:val="Punto elenco 1 Carattere,Paragraphe EI Carattere,Paragraphe de liste1 Carattere,EC Carattere"/>
    <w:link w:val="Paragrafoelenco"/>
    <w:uiPriority w:val="34"/>
    <w:locked/>
    <w:rsid w:val="001F5A5E"/>
    <w:rPr>
      <w:rFonts w:ascii="Calibri" w:eastAsia="Calibri" w:hAnsi="Calibri" w:cs="Times New Roman"/>
      <w:lang w:val="en-US"/>
    </w:rPr>
  </w:style>
  <w:style w:type="character" w:customStyle="1" w:styleId="Titolo3Carattere">
    <w:name w:val="Titolo 3 Carattere"/>
    <w:basedOn w:val="Carpredefinitoparagrafo"/>
    <w:link w:val="Titolo3"/>
    <w:uiPriority w:val="9"/>
    <w:rsid w:val="007B3EE5"/>
    <w:rPr>
      <w:rFonts w:ascii="Times New Roman" w:eastAsiaTheme="majorEastAsia" w:hAnsi="Times New Roman" w:cstheme="majorBidi"/>
      <w:b/>
      <w:bCs/>
      <w:i/>
    </w:rPr>
  </w:style>
  <w:style w:type="character" w:customStyle="1" w:styleId="Titolo1Carattere">
    <w:name w:val="Titolo 1 Carattere"/>
    <w:basedOn w:val="Carpredefinitoparagrafo"/>
    <w:link w:val="Titolo1"/>
    <w:uiPriority w:val="9"/>
    <w:rsid w:val="00795C3C"/>
    <w:rPr>
      <w:rFonts w:ascii="Times New Roman" w:eastAsiaTheme="majorEastAsia" w:hAnsi="Times New Roman" w:cstheme="majorBidi"/>
      <w:b/>
      <w:color w:val="000000" w:themeColor="text1"/>
      <w:sz w:val="24"/>
      <w:szCs w:val="32"/>
    </w:rPr>
  </w:style>
  <w:style w:type="paragraph" w:styleId="Titolosommario">
    <w:name w:val="TOC Heading"/>
    <w:basedOn w:val="Titolo1"/>
    <w:next w:val="Normale"/>
    <w:uiPriority w:val="39"/>
    <w:unhideWhenUsed/>
    <w:qFormat/>
    <w:rsid w:val="002D356A"/>
    <w:pPr>
      <w:jc w:val="left"/>
      <w:outlineLvl w:val="9"/>
    </w:pPr>
    <w:rPr>
      <w:rFonts w:asciiTheme="majorHAnsi" w:hAnsiTheme="majorHAnsi"/>
      <w:b w:val="0"/>
      <w:color w:val="2E74B5" w:themeColor="accent1" w:themeShade="BF"/>
      <w:lang w:eastAsia="it-IT"/>
    </w:rPr>
  </w:style>
  <w:style w:type="paragraph" w:styleId="Sommario1">
    <w:name w:val="toc 1"/>
    <w:basedOn w:val="Normale"/>
    <w:next w:val="Normale"/>
    <w:autoRedefine/>
    <w:uiPriority w:val="39"/>
    <w:unhideWhenUsed/>
    <w:qFormat/>
    <w:rsid w:val="002D356A"/>
    <w:pPr>
      <w:spacing w:before="120" w:after="120"/>
      <w:jc w:val="left"/>
    </w:pPr>
    <w:rPr>
      <w:rFonts w:asciiTheme="minorHAnsi" w:hAnsiTheme="minorHAnsi"/>
      <w:b/>
      <w:bCs/>
      <w:caps/>
      <w:sz w:val="20"/>
      <w:szCs w:val="20"/>
    </w:rPr>
  </w:style>
  <w:style w:type="paragraph" w:styleId="Sommario2">
    <w:name w:val="toc 2"/>
    <w:basedOn w:val="Normale"/>
    <w:next w:val="Normale"/>
    <w:autoRedefine/>
    <w:uiPriority w:val="39"/>
    <w:unhideWhenUsed/>
    <w:qFormat/>
    <w:rsid w:val="002D356A"/>
    <w:pPr>
      <w:ind w:left="220"/>
      <w:jc w:val="left"/>
    </w:pPr>
    <w:rPr>
      <w:rFonts w:asciiTheme="minorHAnsi" w:hAnsiTheme="minorHAnsi"/>
      <w:smallCaps/>
      <w:sz w:val="20"/>
      <w:szCs w:val="20"/>
    </w:rPr>
  </w:style>
  <w:style w:type="paragraph" w:styleId="Sommario3">
    <w:name w:val="toc 3"/>
    <w:basedOn w:val="Normale"/>
    <w:next w:val="Normale"/>
    <w:autoRedefine/>
    <w:uiPriority w:val="39"/>
    <w:unhideWhenUsed/>
    <w:qFormat/>
    <w:rsid w:val="002D356A"/>
    <w:pPr>
      <w:ind w:left="440"/>
      <w:jc w:val="left"/>
    </w:pPr>
    <w:rPr>
      <w:rFonts w:asciiTheme="minorHAnsi" w:hAnsiTheme="minorHAnsi"/>
      <w:i/>
      <w:iCs/>
      <w:sz w:val="20"/>
      <w:szCs w:val="20"/>
    </w:rPr>
  </w:style>
  <w:style w:type="paragraph" w:styleId="Nessunaspaziatura">
    <w:name w:val="No Spacing"/>
    <w:aliases w:val="normale"/>
    <w:link w:val="NessunaspaziaturaCarattere"/>
    <w:uiPriority w:val="1"/>
    <w:qFormat/>
    <w:rsid w:val="0065700C"/>
    <w:pPr>
      <w:jc w:val="left"/>
    </w:pPr>
    <w:rPr>
      <w:rFonts w:ascii="Calibri" w:eastAsia="Calibri" w:hAnsi="Calibri" w:cs="Times New Roman"/>
    </w:rPr>
  </w:style>
  <w:style w:type="character" w:customStyle="1" w:styleId="Nessuno">
    <w:name w:val="Nessuno"/>
    <w:rsid w:val="00523D2D"/>
    <w:rPr>
      <w:lang w:val="it-IT"/>
    </w:rPr>
  </w:style>
  <w:style w:type="paragraph" w:customStyle="1" w:styleId="Default">
    <w:name w:val="Default"/>
    <w:rsid w:val="00FD270C"/>
    <w:pPr>
      <w:autoSpaceDE w:val="0"/>
      <w:autoSpaceDN w:val="0"/>
      <w:adjustRightInd w:val="0"/>
      <w:spacing w:before="0" w:after="0"/>
      <w:jc w:val="left"/>
    </w:pPr>
    <w:rPr>
      <w:rFonts w:ascii="Arial" w:hAnsi="Arial" w:cs="Arial"/>
      <w:color w:val="000000"/>
      <w:sz w:val="24"/>
      <w:szCs w:val="24"/>
    </w:rPr>
  </w:style>
  <w:style w:type="paragraph" w:styleId="Sommario4">
    <w:name w:val="toc 4"/>
    <w:basedOn w:val="Normale"/>
    <w:next w:val="Normale"/>
    <w:autoRedefine/>
    <w:uiPriority w:val="39"/>
    <w:unhideWhenUsed/>
    <w:rsid w:val="00E83E06"/>
    <w:pPr>
      <w:ind w:left="660"/>
      <w:jc w:val="left"/>
    </w:pPr>
    <w:rPr>
      <w:rFonts w:asciiTheme="minorHAnsi" w:hAnsiTheme="minorHAnsi"/>
      <w:sz w:val="18"/>
      <w:szCs w:val="18"/>
    </w:rPr>
  </w:style>
  <w:style w:type="paragraph" w:styleId="Sommario5">
    <w:name w:val="toc 5"/>
    <w:basedOn w:val="Normale"/>
    <w:next w:val="Normale"/>
    <w:autoRedefine/>
    <w:uiPriority w:val="39"/>
    <w:unhideWhenUsed/>
    <w:rsid w:val="00E83E06"/>
    <w:pPr>
      <w:ind w:left="880"/>
      <w:jc w:val="left"/>
    </w:pPr>
    <w:rPr>
      <w:rFonts w:asciiTheme="minorHAnsi" w:hAnsiTheme="minorHAnsi"/>
      <w:sz w:val="18"/>
      <w:szCs w:val="18"/>
    </w:rPr>
  </w:style>
  <w:style w:type="paragraph" w:styleId="Sommario6">
    <w:name w:val="toc 6"/>
    <w:basedOn w:val="Normale"/>
    <w:next w:val="Normale"/>
    <w:autoRedefine/>
    <w:uiPriority w:val="39"/>
    <w:unhideWhenUsed/>
    <w:rsid w:val="00E83E06"/>
    <w:pPr>
      <w:ind w:left="1100"/>
      <w:jc w:val="left"/>
    </w:pPr>
    <w:rPr>
      <w:rFonts w:asciiTheme="minorHAnsi" w:hAnsiTheme="minorHAnsi"/>
      <w:sz w:val="18"/>
      <w:szCs w:val="18"/>
    </w:rPr>
  </w:style>
  <w:style w:type="paragraph" w:styleId="Sommario7">
    <w:name w:val="toc 7"/>
    <w:basedOn w:val="Normale"/>
    <w:next w:val="Normale"/>
    <w:autoRedefine/>
    <w:uiPriority w:val="39"/>
    <w:unhideWhenUsed/>
    <w:rsid w:val="00E83E06"/>
    <w:pPr>
      <w:ind w:left="1320"/>
      <w:jc w:val="left"/>
    </w:pPr>
    <w:rPr>
      <w:rFonts w:asciiTheme="minorHAnsi" w:hAnsiTheme="minorHAnsi"/>
      <w:sz w:val="18"/>
      <w:szCs w:val="18"/>
    </w:rPr>
  </w:style>
  <w:style w:type="paragraph" w:styleId="Sommario8">
    <w:name w:val="toc 8"/>
    <w:basedOn w:val="Normale"/>
    <w:next w:val="Normale"/>
    <w:autoRedefine/>
    <w:uiPriority w:val="39"/>
    <w:unhideWhenUsed/>
    <w:rsid w:val="00E83E06"/>
    <w:pPr>
      <w:ind w:left="1540"/>
      <w:jc w:val="left"/>
    </w:pPr>
    <w:rPr>
      <w:rFonts w:asciiTheme="minorHAnsi" w:hAnsiTheme="minorHAnsi"/>
      <w:sz w:val="18"/>
      <w:szCs w:val="18"/>
    </w:rPr>
  </w:style>
  <w:style w:type="paragraph" w:styleId="Sommario9">
    <w:name w:val="toc 9"/>
    <w:basedOn w:val="Normale"/>
    <w:next w:val="Normale"/>
    <w:autoRedefine/>
    <w:uiPriority w:val="39"/>
    <w:unhideWhenUsed/>
    <w:rsid w:val="00E83E06"/>
    <w:pPr>
      <w:ind w:left="1760"/>
      <w:jc w:val="left"/>
    </w:pPr>
    <w:rPr>
      <w:rFonts w:asciiTheme="minorHAnsi" w:hAnsiTheme="minorHAnsi"/>
      <w:sz w:val="18"/>
      <w:szCs w:val="18"/>
    </w:rPr>
  </w:style>
  <w:style w:type="paragraph" w:styleId="Testonotadichiusura">
    <w:name w:val="endnote text"/>
    <w:basedOn w:val="Normale"/>
    <w:link w:val="TestonotadichiusuraCarattere"/>
    <w:uiPriority w:val="99"/>
    <w:unhideWhenUsed/>
    <w:rsid w:val="00583528"/>
    <w:pPr>
      <w:jc w:val="left"/>
    </w:pPr>
    <w:rPr>
      <w:rFonts w:asciiTheme="minorHAnsi" w:hAnsiTheme="minorHAnsi"/>
      <w:color w:val="auto"/>
      <w:sz w:val="20"/>
      <w:szCs w:val="20"/>
    </w:rPr>
  </w:style>
  <w:style w:type="character" w:customStyle="1" w:styleId="TestonotadichiusuraCarattere">
    <w:name w:val="Testo nota di chiusura Carattere"/>
    <w:basedOn w:val="Carpredefinitoparagrafo"/>
    <w:link w:val="Testonotadichiusura"/>
    <w:uiPriority w:val="99"/>
    <w:rsid w:val="00583528"/>
    <w:rPr>
      <w:sz w:val="20"/>
      <w:szCs w:val="20"/>
    </w:rPr>
  </w:style>
  <w:style w:type="character" w:styleId="Rimandonotadichiusura">
    <w:name w:val="endnote reference"/>
    <w:basedOn w:val="Carpredefinitoparagrafo"/>
    <w:uiPriority w:val="99"/>
    <w:semiHidden/>
    <w:unhideWhenUsed/>
    <w:rsid w:val="00583528"/>
    <w:rPr>
      <w:vertAlign w:val="superscript"/>
    </w:rPr>
  </w:style>
  <w:style w:type="table" w:customStyle="1" w:styleId="Grigliatabella1">
    <w:name w:val="Griglia tabella1"/>
    <w:basedOn w:val="Tabellanormale"/>
    <w:uiPriority w:val="59"/>
    <w:rsid w:val="00FB11DB"/>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rsid w:val="002078A3"/>
    <w:rPr>
      <w:rFonts w:asciiTheme="majorHAnsi" w:eastAsiaTheme="majorEastAsia" w:hAnsiTheme="majorHAnsi" w:cstheme="majorBidi"/>
      <w:b/>
      <w:bCs/>
      <w:i/>
      <w:iCs/>
      <w:color w:val="5B9BD5" w:themeColor="accent1"/>
    </w:rPr>
  </w:style>
  <w:style w:type="character" w:customStyle="1" w:styleId="apple-converted-space">
    <w:name w:val="apple-converted-space"/>
    <w:rsid w:val="000D500E"/>
  </w:style>
  <w:style w:type="character" w:styleId="Enfasigrassetto">
    <w:name w:val="Strong"/>
    <w:uiPriority w:val="22"/>
    <w:qFormat/>
    <w:rsid w:val="000D500E"/>
    <w:rPr>
      <w:b/>
      <w:bCs/>
    </w:rPr>
  </w:style>
  <w:style w:type="numbering" w:customStyle="1" w:styleId="Nessunelenco1">
    <w:name w:val="Nessun elenco1"/>
    <w:next w:val="Nessunelenco"/>
    <w:uiPriority w:val="99"/>
    <w:semiHidden/>
    <w:unhideWhenUsed/>
    <w:rsid w:val="00845AEC"/>
  </w:style>
  <w:style w:type="character" w:styleId="Collegamentovisitato">
    <w:name w:val="FollowedHyperlink"/>
    <w:basedOn w:val="Carpredefinitoparagrafo"/>
    <w:uiPriority w:val="99"/>
    <w:semiHidden/>
    <w:unhideWhenUsed/>
    <w:rsid w:val="00845AEC"/>
    <w:rPr>
      <w:color w:val="954F72"/>
      <w:u w:val="single"/>
    </w:rPr>
  </w:style>
  <w:style w:type="paragraph" w:styleId="Didascalia">
    <w:name w:val="caption"/>
    <w:basedOn w:val="Normale"/>
    <w:uiPriority w:val="35"/>
    <w:semiHidden/>
    <w:unhideWhenUsed/>
    <w:qFormat/>
    <w:rsid w:val="00845AEC"/>
    <w:pPr>
      <w:spacing w:after="200"/>
      <w:jc w:val="left"/>
    </w:pPr>
    <w:rPr>
      <w:rFonts w:ascii="Cambria" w:hAnsi="Cambria" w:cs="Times New Roman"/>
      <w:b/>
      <w:bCs/>
      <w:color w:val="4F81BD"/>
      <w:sz w:val="18"/>
      <w:szCs w:val="18"/>
    </w:rPr>
  </w:style>
  <w:style w:type="paragraph" w:styleId="Indicedellefigure">
    <w:name w:val="table of figures"/>
    <w:basedOn w:val="Normale"/>
    <w:uiPriority w:val="99"/>
    <w:semiHidden/>
    <w:unhideWhenUsed/>
    <w:rsid w:val="00845AEC"/>
    <w:pPr>
      <w:spacing w:line="276" w:lineRule="auto"/>
      <w:jc w:val="left"/>
    </w:pPr>
    <w:rPr>
      <w:rFonts w:ascii="Cambria" w:hAnsi="Cambria" w:cs="Times New Roman"/>
      <w:color w:val="auto"/>
      <w:sz w:val="24"/>
      <w:szCs w:val="24"/>
    </w:rPr>
  </w:style>
  <w:style w:type="paragraph" w:styleId="Titolo">
    <w:name w:val="Title"/>
    <w:basedOn w:val="Normale"/>
    <w:link w:val="TitoloCarattere"/>
    <w:uiPriority w:val="10"/>
    <w:qFormat/>
    <w:rsid w:val="00845AEC"/>
    <w:pPr>
      <w:spacing w:after="300"/>
      <w:contextualSpacing/>
      <w:jc w:val="left"/>
    </w:pPr>
    <w:rPr>
      <w:rFonts w:ascii="Cambria" w:hAnsi="Cambria" w:cs="Times New Roman"/>
      <w:color w:val="17365D"/>
      <w:spacing w:val="5"/>
      <w:sz w:val="52"/>
      <w:szCs w:val="52"/>
    </w:rPr>
  </w:style>
  <w:style w:type="character" w:customStyle="1" w:styleId="TitoloCarattere">
    <w:name w:val="Titolo Carattere"/>
    <w:basedOn w:val="Carpredefinitoparagrafo"/>
    <w:link w:val="Titolo"/>
    <w:uiPriority w:val="10"/>
    <w:rsid w:val="00845AEC"/>
    <w:rPr>
      <w:rFonts w:ascii="Cambria" w:hAnsi="Cambria" w:cs="Times New Roman"/>
      <w:color w:val="17365D"/>
      <w:spacing w:val="5"/>
      <w:sz w:val="52"/>
      <w:szCs w:val="52"/>
    </w:rPr>
  </w:style>
  <w:style w:type="paragraph" w:styleId="Sottotitolo">
    <w:name w:val="Subtitle"/>
    <w:basedOn w:val="Normale"/>
    <w:link w:val="SottotitoloCarattere"/>
    <w:uiPriority w:val="11"/>
    <w:qFormat/>
    <w:rsid w:val="00845AEC"/>
    <w:pPr>
      <w:spacing w:after="200" w:line="276" w:lineRule="auto"/>
      <w:jc w:val="left"/>
    </w:pPr>
    <w:rPr>
      <w:rFonts w:ascii="Cambria" w:hAnsi="Cambria" w:cs="Times New Roman"/>
      <w:i/>
      <w:iCs/>
      <w:color w:val="4F81BD"/>
      <w:spacing w:val="15"/>
      <w:sz w:val="24"/>
      <w:szCs w:val="24"/>
    </w:rPr>
  </w:style>
  <w:style w:type="character" w:customStyle="1" w:styleId="SottotitoloCarattere">
    <w:name w:val="Sottotitolo Carattere"/>
    <w:basedOn w:val="Carpredefinitoparagrafo"/>
    <w:link w:val="Sottotitolo"/>
    <w:uiPriority w:val="11"/>
    <w:rsid w:val="00845AEC"/>
    <w:rPr>
      <w:rFonts w:ascii="Cambria" w:hAnsi="Cambria" w:cs="Times New Roman"/>
      <w:i/>
      <w:iCs/>
      <w:color w:val="4F81BD"/>
      <w:spacing w:val="15"/>
      <w:sz w:val="24"/>
      <w:szCs w:val="24"/>
    </w:rPr>
  </w:style>
  <w:style w:type="paragraph" w:customStyle="1" w:styleId="msochpdefault">
    <w:name w:val="msochpdefault"/>
    <w:basedOn w:val="Normale"/>
    <w:uiPriority w:val="99"/>
    <w:semiHidden/>
    <w:rsid w:val="00845AEC"/>
    <w:pPr>
      <w:spacing w:before="100" w:beforeAutospacing="1" w:after="100" w:afterAutospacing="1"/>
      <w:jc w:val="left"/>
    </w:pPr>
    <w:rPr>
      <w:rFonts w:cs="Times New Roman"/>
      <w:color w:val="auto"/>
      <w:sz w:val="20"/>
      <w:szCs w:val="20"/>
      <w:lang w:eastAsia="it-IT"/>
    </w:rPr>
  </w:style>
  <w:style w:type="character" w:customStyle="1" w:styleId="SoseParL1CorsivoCarattere">
    <w:name w:val="SoseParL1Corsivo Carattere"/>
    <w:basedOn w:val="Carpredefinitoparagrafo"/>
    <w:link w:val="SoseParL1Corsivo"/>
    <w:uiPriority w:val="99"/>
    <w:semiHidden/>
    <w:locked/>
    <w:rsid w:val="00845AEC"/>
    <w:rPr>
      <w:rFonts w:ascii="Trebuchet MS" w:hAnsi="Trebuchet MS"/>
      <w:i/>
      <w:iCs/>
      <w:color w:val="062A5E"/>
    </w:rPr>
  </w:style>
  <w:style w:type="paragraph" w:customStyle="1" w:styleId="SoseParL1Corsivo">
    <w:name w:val="SoseParL1Corsivo"/>
    <w:basedOn w:val="Normale"/>
    <w:link w:val="SoseParL1CorsivoCarattere"/>
    <w:uiPriority w:val="99"/>
    <w:semiHidden/>
    <w:rsid w:val="00845AEC"/>
    <w:pPr>
      <w:spacing w:before="120"/>
      <w:ind w:firstLine="709"/>
    </w:pPr>
    <w:rPr>
      <w:rFonts w:ascii="Trebuchet MS" w:hAnsi="Trebuchet MS"/>
      <w:i/>
      <w:iCs/>
      <w:color w:val="062A5E"/>
    </w:rPr>
  </w:style>
  <w:style w:type="character" w:customStyle="1" w:styleId="stilemessaggiodipostaelettronica17">
    <w:name w:val="stilemessaggiodipostaelettronica17"/>
    <w:basedOn w:val="Carpredefinitoparagrafo"/>
    <w:rsid w:val="00845AEC"/>
    <w:rPr>
      <w:rFonts w:ascii="Calibri" w:hAnsi="Calibri" w:hint="default"/>
      <w:color w:val="1F497D"/>
    </w:rPr>
  </w:style>
  <w:style w:type="character" w:customStyle="1" w:styleId="stilemessaggiodipostaelettronica60">
    <w:name w:val="stilemessaggiodipostaelettronica60"/>
    <w:basedOn w:val="Carpredefinitoparagrafo"/>
    <w:semiHidden/>
    <w:rsid w:val="00845AEC"/>
    <w:rPr>
      <w:rFonts w:ascii="Calibri" w:hAnsi="Calibri" w:hint="default"/>
      <w:color w:val="1F497D"/>
    </w:rPr>
  </w:style>
  <w:style w:type="character" w:customStyle="1" w:styleId="stilemessaggiodipostaelettronica61">
    <w:name w:val="stilemessaggiodipostaelettronica61"/>
    <w:basedOn w:val="Carpredefinitoparagrafo"/>
    <w:semiHidden/>
    <w:rsid w:val="00845AEC"/>
    <w:rPr>
      <w:rFonts w:ascii="Calibri" w:hAnsi="Calibri" w:hint="default"/>
      <w:color w:val="993366"/>
    </w:rPr>
  </w:style>
  <w:style w:type="character" w:customStyle="1" w:styleId="stilemessaggiodipostaelettronica62">
    <w:name w:val="stilemessaggiodipostaelettronica62"/>
    <w:basedOn w:val="Carpredefinitoparagrafo"/>
    <w:semiHidden/>
    <w:rsid w:val="00845AEC"/>
    <w:rPr>
      <w:rFonts w:ascii="Calibri" w:hAnsi="Calibri" w:hint="default"/>
      <w:color w:val="1F497D"/>
    </w:rPr>
  </w:style>
  <w:style w:type="character" w:customStyle="1" w:styleId="stilemessaggiodipostaelettronica63">
    <w:name w:val="stilemessaggiodipostaelettronica63"/>
    <w:basedOn w:val="Carpredefinitoparagrafo"/>
    <w:semiHidden/>
    <w:rsid w:val="00845AEC"/>
    <w:rPr>
      <w:rFonts w:ascii="Calibri" w:hAnsi="Calibri" w:hint="default"/>
      <w:color w:val="1F497D"/>
    </w:rPr>
  </w:style>
  <w:style w:type="character" w:customStyle="1" w:styleId="stilemessaggiodipostaelettronica64">
    <w:name w:val="stilemessaggiodipostaelettronica64"/>
    <w:basedOn w:val="Carpredefinitoparagrafo"/>
    <w:semiHidden/>
    <w:rsid w:val="00845AEC"/>
    <w:rPr>
      <w:rFonts w:ascii="Calibri" w:hAnsi="Calibri" w:hint="default"/>
      <w:color w:val="1F497D"/>
    </w:rPr>
  </w:style>
  <w:style w:type="character" w:customStyle="1" w:styleId="stilemessaggiodipostaelettronica65">
    <w:name w:val="stilemessaggiodipostaelettronica65"/>
    <w:basedOn w:val="Carpredefinitoparagrafo"/>
    <w:semiHidden/>
    <w:rsid w:val="00845AEC"/>
    <w:rPr>
      <w:rFonts w:ascii="Calibri" w:hAnsi="Calibri" w:hint="default"/>
      <w:color w:val="1F497D"/>
    </w:rPr>
  </w:style>
  <w:style w:type="character" w:customStyle="1" w:styleId="stilemessaggiodipostaelettronica66">
    <w:name w:val="stilemessaggiodipostaelettronica66"/>
    <w:basedOn w:val="Carpredefinitoparagrafo"/>
    <w:semiHidden/>
    <w:rsid w:val="00845AEC"/>
    <w:rPr>
      <w:rFonts w:ascii="Cambria" w:hAnsi="Cambria" w:hint="default"/>
      <w:b w:val="0"/>
      <w:bCs w:val="0"/>
      <w:i w:val="0"/>
      <w:iCs w:val="0"/>
      <w:strike w:val="0"/>
      <w:dstrike w:val="0"/>
      <w:color w:val="auto"/>
      <w:u w:val="none"/>
      <w:effect w:val="none"/>
    </w:rPr>
  </w:style>
  <w:style w:type="character" w:customStyle="1" w:styleId="stilemessaggiodipostaelettronica68">
    <w:name w:val="stilemessaggiodipostaelettronica68"/>
    <w:basedOn w:val="Carpredefinitoparagrafo"/>
    <w:semiHidden/>
    <w:rsid w:val="00845AEC"/>
    <w:rPr>
      <w:rFonts w:ascii="Calibri" w:hAnsi="Calibri" w:hint="default"/>
      <w:color w:val="1F497D"/>
    </w:rPr>
  </w:style>
  <w:style w:type="character" w:customStyle="1" w:styleId="stilemessaggiodipostaelettronica69">
    <w:name w:val="stilemessaggiodipostaelettronica69"/>
    <w:basedOn w:val="Carpredefinitoparagrafo"/>
    <w:semiHidden/>
    <w:rsid w:val="00845AEC"/>
    <w:rPr>
      <w:rFonts w:ascii="Calibri" w:hAnsi="Calibri" w:hint="default"/>
      <w:color w:val="1F497D"/>
    </w:rPr>
  </w:style>
  <w:style w:type="character" w:customStyle="1" w:styleId="stilemessaggiodipostaelettronica70">
    <w:name w:val="stilemessaggiodipostaelettronica70"/>
    <w:basedOn w:val="Carpredefinitoparagrafo"/>
    <w:semiHidden/>
    <w:rsid w:val="00845AEC"/>
    <w:rPr>
      <w:rFonts w:ascii="Calibri" w:hAnsi="Calibri" w:hint="default"/>
      <w:color w:val="1F497D"/>
    </w:rPr>
  </w:style>
  <w:style w:type="paragraph" w:customStyle="1" w:styleId="provvr0">
    <w:name w:val="provv_r0"/>
    <w:basedOn w:val="Normale"/>
    <w:rsid w:val="00491935"/>
    <w:pPr>
      <w:spacing w:before="100" w:beforeAutospacing="1" w:after="100" w:afterAutospacing="1"/>
      <w:jc w:val="left"/>
    </w:pPr>
    <w:rPr>
      <w:rFonts w:eastAsia="Times New Roman" w:cs="Times New Roman"/>
      <w:color w:val="auto"/>
      <w:sz w:val="24"/>
      <w:szCs w:val="24"/>
      <w:lang w:eastAsia="it-IT"/>
    </w:rPr>
  </w:style>
  <w:style w:type="character" w:customStyle="1" w:styleId="provvnumcomma">
    <w:name w:val="provv_numcomma"/>
    <w:basedOn w:val="Carpredefinitoparagrafo"/>
    <w:rsid w:val="00C261FC"/>
  </w:style>
  <w:style w:type="character" w:styleId="Enfasicorsivo">
    <w:name w:val="Emphasis"/>
    <w:uiPriority w:val="20"/>
    <w:qFormat/>
    <w:rsid w:val="00AD51DA"/>
    <w:rPr>
      <w:i/>
      <w:iCs/>
    </w:rPr>
  </w:style>
  <w:style w:type="paragraph" w:customStyle="1" w:styleId="P3">
    <w:name w:val="P3"/>
    <w:basedOn w:val="Normale"/>
    <w:rsid w:val="004B57F4"/>
    <w:pPr>
      <w:spacing w:after="240"/>
      <w:ind w:left="1701"/>
    </w:pPr>
    <w:rPr>
      <w:rFonts w:ascii="Arial" w:eastAsia="Times New Roman" w:hAnsi="Arial" w:cs="Times New Roman"/>
      <w:color w:val="auto"/>
      <w:sz w:val="24"/>
      <w:szCs w:val="20"/>
      <w:lang w:eastAsia="it-IT"/>
    </w:rPr>
  </w:style>
  <w:style w:type="paragraph" w:styleId="Corpotesto">
    <w:name w:val="Body Text"/>
    <w:basedOn w:val="Normale"/>
    <w:link w:val="CorpotestoCarattere"/>
    <w:uiPriority w:val="1"/>
    <w:unhideWhenUsed/>
    <w:qFormat/>
    <w:rsid w:val="008A5F33"/>
    <w:pPr>
      <w:widowControl w:val="0"/>
      <w:autoSpaceDE w:val="0"/>
      <w:autoSpaceDN w:val="0"/>
      <w:jc w:val="left"/>
    </w:pPr>
    <w:rPr>
      <w:rFonts w:eastAsia="Times New Roman" w:cs="Times New Roman"/>
      <w:color w:val="auto"/>
      <w:sz w:val="24"/>
      <w:szCs w:val="24"/>
      <w:lang w:val="en-US"/>
    </w:rPr>
  </w:style>
  <w:style w:type="character" w:customStyle="1" w:styleId="CorpotestoCarattere">
    <w:name w:val="Corpo testo Carattere"/>
    <w:basedOn w:val="Carpredefinitoparagrafo"/>
    <w:link w:val="Corpotesto"/>
    <w:uiPriority w:val="1"/>
    <w:rsid w:val="008A5F33"/>
    <w:rPr>
      <w:rFonts w:ascii="Times New Roman" w:eastAsia="Times New Roman" w:hAnsi="Times New Roman" w:cs="Times New Roman"/>
      <w:sz w:val="24"/>
      <w:szCs w:val="24"/>
      <w:lang w:val="en-US"/>
    </w:rPr>
  </w:style>
  <w:style w:type="table" w:customStyle="1" w:styleId="Grigliatabella3">
    <w:name w:val="Griglia tabella3"/>
    <w:basedOn w:val="Tabellanormale"/>
    <w:next w:val="Grigliatabella"/>
    <w:uiPriority w:val="59"/>
    <w:rsid w:val="00517919"/>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517919"/>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517919"/>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rsid w:val="00517919"/>
    <w:pPr>
      <w:spacing w:before="0" w:after="0"/>
      <w:jc w:val="left"/>
    </w:pPr>
    <w:rPr>
      <w:rFonts w:ascii="Times New Roman" w:eastAsia="¹Å" w:hAnsi="Times New Roman"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ientrocorpodeltesto2">
    <w:name w:val="Body Text Indent 2"/>
    <w:basedOn w:val="Normale"/>
    <w:link w:val="Rientrocorpodeltesto2Carattere"/>
    <w:uiPriority w:val="99"/>
    <w:semiHidden/>
    <w:unhideWhenUsed/>
    <w:rsid w:val="00D76545"/>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D76545"/>
    <w:rPr>
      <w:rFonts w:ascii="Times New Roman" w:hAnsi="Times New Roman"/>
      <w:color w:val="000000" w:themeColor="text1"/>
    </w:rPr>
  </w:style>
  <w:style w:type="paragraph" w:customStyle="1" w:styleId="Paragrafoelenco1">
    <w:name w:val="Paragrafo elenco1"/>
    <w:basedOn w:val="Normale"/>
    <w:rsid w:val="001F04CF"/>
    <w:pPr>
      <w:spacing w:after="160" w:line="259" w:lineRule="auto"/>
      <w:ind w:left="720"/>
      <w:contextualSpacing/>
      <w:jc w:val="left"/>
    </w:pPr>
    <w:rPr>
      <w:rFonts w:ascii="Calibri" w:eastAsia="Times New Roman" w:hAnsi="Calibri" w:cs="Times New Roman"/>
      <w:color w:val="auto"/>
    </w:rPr>
  </w:style>
  <w:style w:type="character" w:customStyle="1" w:styleId="provvnumart">
    <w:name w:val="provv_numart"/>
    <w:rsid w:val="009E259B"/>
    <w:rPr>
      <w:b/>
      <w:bCs/>
    </w:rPr>
  </w:style>
  <w:style w:type="character" w:customStyle="1" w:styleId="provvrubrica">
    <w:name w:val="provv_rubrica"/>
    <w:rsid w:val="009E259B"/>
    <w:rPr>
      <w:b/>
      <w:bCs/>
    </w:rPr>
  </w:style>
  <w:style w:type="paragraph" w:customStyle="1" w:styleId="Standard">
    <w:name w:val="Standard"/>
    <w:rsid w:val="00D009B2"/>
    <w:pPr>
      <w:widowControl w:val="0"/>
      <w:suppressAutoHyphens/>
      <w:autoSpaceDN w:val="0"/>
      <w:spacing w:before="0" w:after="0"/>
      <w:jc w:val="left"/>
      <w:textAlignment w:val="baseline"/>
    </w:pPr>
    <w:rPr>
      <w:rFonts w:ascii="Times New Roman" w:eastAsia="SimSun" w:hAnsi="Times New Roman" w:cs="Arial"/>
      <w:kern w:val="3"/>
      <w:sz w:val="24"/>
      <w:szCs w:val="24"/>
      <w:lang w:eastAsia="zh-CN" w:bidi="hi-IN"/>
    </w:rPr>
  </w:style>
  <w:style w:type="character" w:customStyle="1" w:styleId="Titolo6Carattere">
    <w:name w:val="Titolo 6 Carattere"/>
    <w:basedOn w:val="Carpredefinitoparagrafo"/>
    <w:link w:val="Titolo6"/>
    <w:uiPriority w:val="9"/>
    <w:semiHidden/>
    <w:rsid w:val="00D009B2"/>
    <w:rPr>
      <w:rFonts w:asciiTheme="majorHAnsi" w:eastAsiaTheme="majorEastAsia" w:hAnsiTheme="majorHAnsi" w:cstheme="majorBidi"/>
      <w:color w:val="1F4D78" w:themeColor="accent1" w:themeShade="7F"/>
    </w:rPr>
  </w:style>
  <w:style w:type="paragraph" w:customStyle="1" w:styleId="CM4">
    <w:name w:val="CM4"/>
    <w:basedOn w:val="Normale"/>
    <w:next w:val="Normale"/>
    <w:uiPriority w:val="99"/>
    <w:rsid w:val="0055677B"/>
    <w:pPr>
      <w:autoSpaceDE w:val="0"/>
      <w:autoSpaceDN w:val="0"/>
      <w:adjustRightInd w:val="0"/>
      <w:spacing w:line="406" w:lineRule="atLeast"/>
      <w:jc w:val="left"/>
    </w:pPr>
    <w:rPr>
      <w:rFonts w:eastAsia="Calibri" w:cs="Times New Roman"/>
      <w:color w:val="auto"/>
      <w:sz w:val="24"/>
      <w:szCs w:val="24"/>
    </w:rPr>
  </w:style>
  <w:style w:type="paragraph" w:customStyle="1" w:styleId="gmail-msolistparagraph">
    <w:name w:val="gmail-msolistparagraph"/>
    <w:basedOn w:val="Normale"/>
    <w:rsid w:val="00A76745"/>
    <w:pPr>
      <w:spacing w:before="100" w:beforeAutospacing="1" w:after="100" w:afterAutospacing="1"/>
      <w:jc w:val="left"/>
    </w:pPr>
    <w:rPr>
      <w:rFonts w:eastAsiaTheme="minorEastAsia" w:cs="Times New Roman"/>
      <w:color w:val="auto"/>
      <w:sz w:val="24"/>
      <w:szCs w:val="24"/>
      <w:lang w:eastAsia="it-IT"/>
    </w:rPr>
  </w:style>
  <w:style w:type="paragraph" w:styleId="Corpodeltesto2">
    <w:name w:val="Body Text 2"/>
    <w:basedOn w:val="Normale"/>
    <w:link w:val="Corpodeltesto2Carattere"/>
    <w:uiPriority w:val="99"/>
    <w:semiHidden/>
    <w:unhideWhenUsed/>
    <w:rsid w:val="00560253"/>
    <w:pPr>
      <w:spacing w:after="120" w:line="480" w:lineRule="auto"/>
    </w:pPr>
  </w:style>
  <w:style w:type="character" w:customStyle="1" w:styleId="Corpodeltesto2Carattere">
    <w:name w:val="Corpo del testo 2 Carattere"/>
    <w:basedOn w:val="Carpredefinitoparagrafo"/>
    <w:link w:val="Corpodeltesto2"/>
    <w:uiPriority w:val="99"/>
    <w:semiHidden/>
    <w:rsid w:val="00560253"/>
    <w:rPr>
      <w:rFonts w:ascii="Times New Roman" w:hAnsi="Times New Roman"/>
      <w:color w:val="000000" w:themeColor="text1"/>
    </w:rPr>
  </w:style>
  <w:style w:type="character" w:customStyle="1" w:styleId="linkneltesto">
    <w:name w:val="link_nel_testo"/>
    <w:basedOn w:val="Carpredefinitoparagrafo"/>
    <w:rsid w:val="00A87C4F"/>
    <w:rPr>
      <w:i/>
      <w:iCs/>
    </w:rPr>
  </w:style>
  <w:style w:type="character" w:customStyle="1" w:styleId="provvabrogato">
    <w:name w:val="provv_abrogato"/>
    <w:basedOn w:val="Carpredefinitoparagrafo"/>
    <w:rsid w:val="00A87C4F"/>
  </w:style>
  <w:style w:type="paragraph" w:customStyle="1" w:styleId="Style4">
    <w:name w:val="Style4"/>
    <w:basedOn w:val="Normale"/>
    <w:uiPriority w:val="99"/>
    <w:rsid w:val="0032312F"/>
    <w:pPr>
      <w:widowControl w:val="0"/>
      <w:autoSpaceDE w:val="0"/>
      <w:autoSpaceDN w:val="0"/>
      <w:adjustRightInd w:val="0"/>
      <w:jc w:val="left"/>
    </w:pPr>
    <w:rPr>
      <w:rFonts w:ascii="Titillium Web" w:eastAsiaTheme="minorEastAsia" w:hAnsi="Titillium Web"/>
      <w:color w:val="auto"/>
      <w:sz w:val="24"/>
      <w:szCs w:val="24"/>
      <w:lang w:eastAsia="it-IT"/>
    </w:rPr>
  </w:style>
  <w:style w:type="paragraph" w:customStyle="1" w:styleId="Style5">
    <w:name w:val="Style5"/>
    <w:basedOn w:val="Normale"/>
    <w:uiPriority w:val="99"/>
    <w:rsid w:val="0032312F"/>
    <w:pPr>
      <w:widowControl w:val="0"/>
      <w:autoSpaceDE w:val="0"/>
      <w:autoSpaceDN w:val="0"/>
      <w:adjustRightInd w:val="0"/>
      <w:jc w:val="left"/>
    </w:pPr>
    <w:rPr>
      <w:rFonts w:ascii="Titillium Web" w:eastAsiaTheme="minorEastAsia" w:hAnsi="Titillium Web"/>
      <w:color w:val="auto"/>
      <w:sz w:val="24"/>
      <w:szCs w:val="24"/>
      <w:lang w:eastAsia="it-IT"/>
    </w:rPr>
  </w:style>
  <w:style w:type="paragraph" w:customStyle="1" w:styleId="Style6">
    <w:name w:val="Style6"/>
    <w:basedOn w:val="Normale"/>
    <w:uiPriority w:val="99"/>
    <w:rsid w:val="0032312F"/>
    <w:pPr>
      <w:widowControl w:val="0"/>
      <w:autoSpaceDE w:val="0"/>
      <w:autoSpaceDN w:val="0"/>
      <w:adjustRightInd w:val="0"/>
      <w:jc w:val="left"/>
    </w:pPr>
    <w:rPr>
      <w:rFonts w:ascii="Titillium Web" w:eastAsiaTheme="minorEastAsia" w:hAnsi="Titillium Web"/>
      <w:color w:val="auto"/>
      <w:sz w:val="24"/>
      <w:szCs w:val="24"/>
      <w:lang w:eastAsia="it-IT"/>
    </w:rPr>
  </w:style>
  <w:style w:type="paragraph" w:customStyle="1" w:styleId="Style7">
    <w:name w:val="Style7"/>
    <w:basedOn w:val="Normale"/>
    <w:uiPriority w:val="99"/>
    <w:rsid w:val="0032312F"/>
    <w:pPr>
      <w:widowControl w:val="0"/>
      <w:autoSpaceDE w:val="0"/>
      <w:autoSpaceDN w:val="0"/>
      <w:adjustRightInd w:val="0"/>
      <w:jc w:val="left"/>
    </w:pPr>
    <w:rPr>
      <w:rFonts w:ascii="Titillium Web" w:eastAsiaTheme="minorEastAsia" w:hAnsi="Titillium Web"/>
      <w:color w:val="auto"/>
      <w:sz w:val="24"/>
      <w:szCs w:val="24"/>
      <w:lang w:eastAsia="it-IT"/>
    </w:rPr>
  </w:style>
  <w:style w:type="paragraph" w:customStyle="1" w:styleId="Style9">
    <w:name w:val="Style9"/>
    <w:basedOn w:val="Normale"/>
    <w:uiPriority w:val="99"/>
    <w:rsid w:val="0032312F"/>
    <w:pPr>
      <w:widowControl w:val="0"/>
      <w:autoSpaceDE w:val="0"/>
      <w:autoSpaceDN w:val="0"/>
      <w:adjustRightInd w:val="0"/>
      <w:jc w:val="left"/>
    </w:pPr>
    <w:rPr>
      <w:rFonts w:ascii="Titillium Web" w:eastAsiaTheme="minorEastAsia" w:hAnsi="Titillium Web"/>
      <w:color w:val="auto"/>
      <w:sz w:val="24"/>
      <w:szCs w:val="24"/>
      <w:lang w:eastAsia="it-IT"/>
    </w:rPr>
  </w:style>
  <w:style w:type="paragraph" w:customStyle="1" w:styleId="Style11">
    <w:name w:val="Style11"/>
    <w:basedOn w:val="Normale"/>
    <w:uiPriority w:val="99"/>
    <w:rsid w:val="0032312F"/>
    <w:pPr>
      <w:widowControl w:val="0"/>
      <w:autoSpaceDE w:val="0"/>
      <w:autoSpaceDN w:val="0"/>
      <w:adjustRightInd w:val="0"/>
      <w:jc w:val="left"/>
    </w:pPr>
    <w:rPr>
      <w:rFonts w:ascii="Titillium Web" w:eastAsiaTheme="minorEastAsia" w:hAnsi="Titillium Web"/>
      <w:color w:val="auto"/>
      <w:sz w:val="24"/>
      <w:szCs w:val="24"/>
      <w:lang w:eastAsia="it-IT"/>
    </w:rPr>
  </w:style>
  <w:style w:type="character" w:customStyle="1" w:styleId="FontStyle15">
    <w:name w:val="Font Style15"/>
    <w:basedOn w:val="Carpredefinitoparagrafo"/>
    <w:uiPriority w:val="99"/>
    <w:rsid w:val="0032312F"/>
    <w:rPr>
      <w:rFonts w:ascii="Sylfaen" w:hAnsi="Sylfaen" w:cs="Sylfaen"/>
      <w:b/>
      <w:bCs/>
      <w:color w:val="000000"/>
      <w:sz w:val="14"/>
      <w:szCs w:val="14"/>
    </w:rPr>
  </w:style>
  <w:style w:type="character" w:customStyle="1" w:styleId="FontStyle16">
    <w:name w:val="Font Style16"/>
    <w:basedOn w:val="Carpredefinitoparagrafo"/>
    <w:uiPriority w:val="99"/>
    <w:rsid w:val="0032312F"/>
    <w:rPr>
      <w:rFonts w:ascii="Titillium Web" w:hAnsi="Titillium Web" w:cs="Titillium Web"/>
      <w:b/>
      <w:bCs/>
      <w:color w:val="000000"/>
      <w:sz w:val="14"/>
      <w:szCs w:val="14"/>
    </w:rPr>
  </w:style>
  <w:style w:type="character" w:customStyle="1" w:styleId="FontStyle17">
    <w:name w:val="Font Style17"/>
    <w:basedOn w:val="Carpredefinitoparagrafo"/>
    <w:uiPriority w:val="99"/>
    <w:rsid w:val="0032312F"/>
    <w:rPr>
      <w:rFonts w:ascii="Sylfaen" w:hAnsi="Sylfaen" w:cs="Sylfaen"/>
      <w:b/>
      <w:bCs/>
      <w:color w:val="000000"/>
      <w:sz w:val="12"/>
      <w:szCs w:val="12"/>
    </w:rPr>
  </w:style>
  <w:style w:type="character" w:customStyle="1" w:styleId="FontStyle18">
    <w:name w:val="Font Style18"/>
    <w:basedOn w:val="Carpredefinitoparagrafo"/>
    <w:uiPriority w:val="99"/>
    <w:rsid w:val="0032312F"/>
    <w:rPr>
      <w:rFonts w:ascii="Sylfaen" w:hAnsi="Sylfaen" w:cs="Sylfaen"/>
      <w:color w:val="000000"/>
      <w:sz w:val="14"/>
      <w:szCs w:val="14"/>
    </w:rPr>
  </w:style>
  <w:style w:type="character" w:customStyle="1" w:styleId="FontStyle19">
    <w:name w:val="Font Style19"/>
    <w:basedOn w:val="Carpredefinitoparagrafo"/>
    <w:uiPriority w:val="99"/>
    <w:rsid w:val="0032312F"/>
    <w:rPr>
      <w:rFonts w:ascii="Book Antiqua" w:hAnsi="Book Antiqua" w:cs="Book Antiqua"/>
      <w:color w:val="000000"/>
      <w:sz w:val="26"/>
      <w:szCs w:val="26"/>
    </w:rPr>
  </w:style>
  <w:style w:type="character" w:customStyle="1" w:styleId="FontStyle20">
    <w:name w:val="Font Style20"/>
    <w:basedOn w:val="Carpredefinitoparagrafo"/>
    <w:uiPriority w:val="99"/>
    <w:rsid w:val="0032312F"/>
    <w:rPr>
      <w:rFonts w:ascii="Sylfaen" w:hAnsi="Sylfaen" w:cs="Sylfaen"/>
      <w:color w:val="000000"/>
      <w:sz w:val="14"/>
      <w:szCs w:val="14"/>
    </w:rPr>
  </w:style>
  <w:style w:type="paragraph" w:customStyle="1" w:styleId="noncancellare">
    <w:name w:val="noncancellare"/>
    <w:basedOn w:val="Normale"/>
    <w:rsid w:val="00744017"/>
    <w:pPr>
      <w:spacing w:after="120"/>
      <w:ind w:left="-1418"/>
    </w:pPr>
    <w:rPr>
      <w:rFonts w:eastAsia="Times New Roman" w:cs="Times New Roman"/>
      <w:color w:val="FF0000"/>
      <w:sz w:val="24"/>
      <w:szCs w:val="20"/>
      <w:lang w:eastAsia="it-IT" w:bidi="he-IL"/>
    </w:rPr>
  </w:style>
  <w:style w:type="paragraph" w:customStyle="1" w:styleId="testocomm">
    <w:name w:val="testocomm"/>
    <w:basedOn w:val="Normale"/>
    <w:rsid w:val="00A57A56"/>
    <w:pPr>
      <w:spacing w:before="100" w:beforeAutospacing="1" w:after="100" w:afterAutospacing="1"/>
      <w:jc w:val="left"/>
    </w:pPr>
    <w:rPr>
      <w:rFonts w:eastAsia="Times New Roman" w:cs="Times New Roman"/>
      <w:color w:val="auto"/>
      <w:sz w:val="24"/>
      <w:szCs w:val="24"/>
      <w:lang w:val="en-US"/>
    </w:rPr>
  </w:style>
  <w:style w:type="paragraph" w:customStyle="1" w:styleId="default0">
    <w:name w:val="default"/>
    <w:basedOn w:val="Normale"/>
    <w:rsid w:val="00B87BF9"/>
    <w:pPr>
      <w:autoSpaceDE w:val="0"/>
      <w:autoSpaceDN w:val="0"/>
      <w:jc w:val="left"/>
    </w:pPr>
    <w:rPr>
      <w:rFonts w:ascii="EUAlbertina" w:hAnsi="EUAlbertina" w:cs="Times New Roman"/>
      <w:color w:val="000000"/>
      <w:sz w:val="24"/>
      <w:szCs w:val="24"/>
      <w:lang w:eastAsia="it-IT"/>
    </w:rPr>
  </w:style>
  <w:style w:type="paragraph" w:customStyle="1" w:styleId="Carpredefinitoparagrafo1">
    <w:name w:val="Car. predefinito paragrafo1"/>
    <w:semiHidden/>
    <w:rsid w:val="00BC45F1"/>
    <w:pPr>
      <w:spacing w:before="0" w:after="0"/>
      <w:jc w:val="left"/>
    </w:pPr>
    <w:rPr>
      <w:rFonts w:ascii="Times New Roman" w:eastAsia="Times New Roman" w:hAnsi="Times New Roman" w:cs="Times New Roman"/>
      <w:sz w:val="20"/>
      <w:szCs w:val="20"/>
      <w:lang w:val="it-CH" w:eastAsia="it-CH"/>
    </w:rPr>
  </w:style>
  <w:style w:type="paragraph" w:styleId="Puntoelenco">
    <w:name w:val="List Bullet"/>
    <w:basedOn w:val="Normale"/>
    <w:uiPriority w:val="99"/>
    <w:unhideWhenUsed/>
    <w:rsid w:val="00D51EB6"/>
    <w:pPr>
      <w:numPr>
        <w:numId w:val="1"/>
      </w:numPr>
      <w:contextualSpacing/>
    </w:pPr>
  </w:style>
  <w:style w:type="paragraph" w:customStyle="1" w:styleId="rgscorpodeltesto">
    <w:name w:val="rgs_corpodeltesto"/>
    <w:basedOn w:val="Normale"/>
    <w:rsid w:val="00C202D0"/>
    <w:pPr>
      <w:spacing w:after="120" w:line="360" w:lineRule="auto"/>
      <w:ind w:firstLine="799"/>
    </w:pPr>
    <w:rPr>
      <w:rFonts w:eastAsia="Times New Roman" w:cs="Times New Roman"/>
      <w:color w:val="auto"/>
      <w:sz w:val="24"/>
      <w:szCs w:val="20"/>
      <w:lang w:eastAsia="it-IT"/>
    </w:rPr>
  </w:style>
  <w:style w:type="paragraph" w:customStyle="1" w:styleId="a">
    <w:name w:val="a"/>
    <w:basedOn w:val="Normale"/>
    <w:rsid w:val="003C7564"/>
    <w:rPr>
      <w:rFonts w:eastAsia="Calibri" w:cs="Times New Roman"/>
      <w:color w:val="auto"/>
      <w:sz w:val="24"/>
      <w:szCs w:val="24"/>
      <w:lang w:eastAsia="it-IT"/>
    </w:rPr>
  </w:style>
  <w:style w:type="paragraph" w:customStyle="1" w:styleId="rubr">
    <w:name w:val="rubr"/>
    <w:basedOn w:val="Normale"/>
    <w:rsid w:val="00D76C2A"/>
    <w:pPr>
      <w:spacing w:after="100" w:afterAutospacing="1" w:line="264" w:lineRule="atLeast"/>
      <w:jc w:val="left"/>
    </w:pPr>
    <w:rPr>
      <w:rFonts w:eastAsia="Times New Roman" w:cs="Times New Roman"/>
      <w:color w:val="auto"/>
      <w:sz w:val="24"/>
      <w:szCs w:val="24"/>
      <w:lang w:eastAsia="it-IT"/>
    </w:rPr>
  </w:style>
  <w:style w:type="paragraph" w:customStyle="1" w:styleId="int">
    <w:name w:val="int"/>
    <w:basedOn w:val="Normale"/>
    <w:rsid w:val="00D76C2A"/>
    <w:pPr>
      <w:spacing w:after="100" w:afterAutospacing="1" w:line="264" w:lineRule="atLeast"/>
      <w:jc w:val="left"/>
    </w:pPr>
    <w:rPr>
      <w:rFonts w:eastAsia="Times New Roman" w:cs="Times New Roman"/>
      <w:color w:val="auto"/>
      <w:sz w:val="24"/>
      <w:szCs w:val="24"/>
      <w:lang w:eastAsia="it-IT"/>
    </w:rPr>
  </w:style>
  <w:style w:type="paragraph" w:customStyle="1" w:styleId="a6">
    <w:name w:val="a6"/>
    <w:basedOn w:val="Normale"/>
    <w:rsid w:val="00D76C2A"/>
    <w:pPr>
      <w:spacing w:after="100" w:afterAutospacing="1" w:line="264" w:lineRule="atLeast"/>
      <w:jc w:val="left"/>
    </w:pPr>
    <w:rPr>
      <w:rFonts w:eastAsia="Times New Roman" w:cs="Times New Roman"/>
      <w:color w:val="auto"/>
      <w:sz w:val="24"/>
      <w:szCs w:val="24"/>
      <w:lang w:eastAsia="it-IT"/>
    </w:rPr>
  </w:style>
  <w:style w:type="paragraph" w:customStyle="1" w:styleId="capos">
    <w:name w:val="capo_s"/>
    <w:basedOn w:val="Normale"/>
    <w:rsid w:val="00D76C2A"/>
    <w:pPr>
      <w:spacing w:after="100" w:afterAutospacing="1" w:line="264" w:lineRule="atLeast"/>
      <w:jc w:val="left"/>
    </w:pPr>
    <w:rPr>
      <w:rFonts w:eastAsia="Times New Roman" w:cs="Times New Roman"/>
      <w:color w:val="auto"/>
      <w:sz w:val="24"/>
      <w:szCs w:val="24"/>
      <w:lang w:eastAsia="it-IT"/>
    </w:rPr>
  </w:style>
  <w:style w:type="paragraph" w:customStyle="1" w:styleId="art">
    <w:name w:val="art"/>
    <w:basedOn w:val="Normale"/>
    <w:rsid w:val="00D76C2A"/>
    <w:pPr>
      <w:spacing w:after="100" w:afterAutospacing="1" w:line="264" w:lineRule="atLeast"/>
      <w:jc w:val="left"/>
    </w:pPr>
    <w:rPr>
      <w:rFonts w:eastAsia="Times New Roman" w:cs="Times New Roman"/>
      <w:color w:val="auto"/>
      <w:sz w:val="24"/>
      <w:szCs w:val="24"/>
      <w:lang w:eastAsia="it-IT"/>
    </w:rPr>
  </w:style>
  <w:style w:type="paragraph" w:styleId="PreformattatoHTML">
    <w:name w:val="HTML Preformatted"/>
    <w:basedOn w:val="Normale"/>
    <w:link w:val="PreformattatoHTMLCarattere"/>
    <w:uiPriority w:val="99"/>
    <w:semiHidden/>
    <w:unhideWhenUsed/>
    <w:rsid w:val="007E4FDC"/>
    <w:pPr>
      <w:jc w:val="left"/>
    </w:pPr>
    <w:rPr>
      <w:rFonts w:ascii="Consolas" w:hAnsi="Consolas" w:cs="Consolas"/>
      <w:color w:val="auto"/>
      <w:sz w:val="20"/>
      <w:szCs w:val="20"/>
    </w:rPr>
  </w:style>
  <w:style w:type="character" w:customStyle="1" w:styleId="PreformattatoHTMLCarattere">
    <w:name w:val="Preformattato HTML Carattere"/>
    <w:basedOn w:val="Carpredefinitoparagrafo"/>
    <w:link w:val="PreformattatoHTML"/>
    <w:uiPriority w:val="99"/>
    <w:semiHidden/>
    <w:rsid w:val="007E4FDC"/>
    <w:rPr>
      <w:rFonts w:ascii="Consolas" w:hAnsi="Consolas" w:cs="Consolas"/>
      <w:sz w:val="20"/>
      <w:szCs w:val="20"/>
    </w:rPr>
  </w:style>
  <w:style w:type="table" w:customStyle="1" w:styleId="TableNormal">
    <w:name w:val="Table Normal"/>
    <w:rsid w:val="007E4FDC"/>
    <w:pPr>
      <w:pBdr>
        <w:top w:val="nil"/>
        <w:left w:val="nil"/>
        <w:bottom w:val="nil"/>
        <w:right w:val="nil"/>
        <w:between w:val="nil"/>
        <w:bar w:val="nil"/>
      </w:pBdr>
      <w:spacing w:before="0" w:after="0"/>
      <w:jc w:val="left"/>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numbering" w:customStyle="1" w:styleId="Stileimportato1">
    <w:name w:val="Stile importato 1"/>
    <w:rsid w:val="007E4FDC"/>
    <w:pPr>
      <w:numPr>
        <w:numId w:val="13"/>
      </w:numPr>
    </w:pPr>
  </w:style>
  <w:style w:type="numbering" w:customStyle="1" w:styleId="Stileimportato2">
    <w:name w:val="Stile importato 2"/>
    <w:rsid w:val="007E4FDC"/>
    <w:pPr>
      <w:numPr>
        <w:numId w:val="14"/>
      </w:numPr>
    </w:pPr>
  </w:style>
  <w:style w:type="table" w:customStyle="1" w:styleId="TableNormal1">
    <w:name w:val="Table Normal1"/>
    <w:rsid w:val="007E4FDC"/>
    <w:pPr>
      <w:pBdr>
        <w:top w:val="nil"/>
        <w:left w:val="nil"/>
        <w:bottom w:val="nil"/>
        <w:right w:val="nil"/>
        <w:between w:val="nil"/>
        <w:bar w:val="nil"/>
      </w:pBdr>
      <w:spacing w:before="0" w:after="0"/>
      <w:jc w:val="left"/>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numbering" w:customStyle="1" w:styleId="Stileimportato11">
    <w:name w:val="Stile importato 11"/>
    <w:rsid w:val="007E4FDC"/>
  </w:style>
  <w:style w:type="numbering" w:customStyle="1" w:styleId="Stileimportato21">
    <w:name w:val="Stile importato 21"/>
    <w:rsid w:val="007E4FDC"/>
  </w:style>
  <w:style w:type="character" w:customStyle="1" w:styleId="NessunaspaziaturaCarattere">
    <w:name w:val="Nessuna spaziatura Carattere"/>
    <w:aliases w:val="normale Carattere"/>
    <w:basedOn w:val="Carpredefinitoparagrafo"/>
    <w:link w:val="Nessunaspaziatura"/>
    <w:uiPriority w:val="1"/>
    <w:rsid w:val="00336981"/>
    <w:rPr>
      <w:rFonts w:ascii="Calibri" w:eastAsia="Calibri" w:hAnsi="Calibri" w:cs="Times New Roman"/>
    </w:rPr>
  </w:style>
  <w:style w:type="paragraph" w:customStyle="1" w:styleId="xmsonormal">
    <w:name w:val="x_msonormal"/>
    <w:basedOn w:val="Normale"/>
    <w:rsid w:val="00336981"/>
    <w:pPr>
      <w:spacing w:before="100" w:beforeAutospacing="1" w:after="100" w:afterAutospacing="1"/>
      <w:jc w:val="left"/>
    </w:pPr>
    <w:rPr>
      <w:rFonts w:eastAsia="Times New Roman" w:cs="Times New Roman"/>
      <w:color w:val="auto"/>
      <w:sz w:val="24"/>
      <w:szCs w:val="24"/>
      <w:lang w:eastAsia="it-IT"/>
    </w:rPr>
  </w:style>
  <w:style w:type="character" w:customStyle="1" w:styleId="Titolo5Carattere">
    <w:name w:val="Titolo 5 Carattere"/>
    <w:basedOn w:val="Carpredefinitoparagrafo"/>
    <w:link w:val="Titolo5"/>
    <w:uiPriority w:val="9"/>
    <w:semiHidden/>
    <w:rsid w:val="00447550"/>
    <w:rPr>
      <w:rFonts w:asciiTheme="majorHAnsi" w:eastAsiaTheme="majorEastAsia" w:hAnsiTheme="majorHAnsi" w:cstheme="majorBidi"/>
      <w:color w:val="2E74B5" w:themeColor="accent1" w:themeShade="BF"/>
    </w:rPr>
  </w:style>
  <w:style w:type="paragraph" w:customStyle="1" w:styleId="Style3">
    <w:name w:val="Style3"/>
    <w:basedOn w:val="Normale"/>
    <w:uiPriority w:val="99"/>
    <w:rsid w:val="00F74826"/>
    <w:pPr>
      <w:widowControl w:val="0"/>
      <w:autoSpaceDE w:val="0"/>
      <w:autoSpaceDN w:val="0"/>
      <w:adjustRightInd w:val="0"/>
      <w:jc w:val="left"/>
    </w:pPr>
    <w:rPr>
      <w:rFonts w:ascii="Calibri" w:eastAsiaTheme="minorEastAsia" w:hAnsi="Calibri" w:cs="Calibri"/>
      <w:color w:val="auto"/>
      <w:sz w:val="24"/>
      <w:szCs w:val="24"/>
      <w:lang w:eastAsia="it-IT"/>
    </w:rPr>
  </w:style>
  <w:style w:type="character" w:customStyle="1" w:styleId="FontStyle38">
    <w:name w:val="Font Style38"/>
    <w:basedOn w:val="Carpredefinitoparagrafo"/>
    <w:uiPriority w:val="99"/>
    <w:rsid w:val="00F74826"/>
    <w:rPr>
      <w:rFonts w:ascii="Calibri" w:hAnsi="Calibri" w:cs="Calibri"/>
      <w:b/>
      <w:bCs/>
      <w:i/>
      <w:iCs/>
      <w:color w:val="000000"/>
      <w:sz w:val="22"/>
      <w:szCs w:val="22"/>
    </w:rPr>
  </w:style>
  <w:style w:type="paragraph" w:customStyle="1" w:styleId="Style2">
    <w:name w:val="Style2"/>
    <w:basedOn w:val="Normale"/>
    <w:uiPriority w:val="99"/>
    <w:rsid w:val="00CE6296"/>
    <w:pPr>
      <w:widowControl w:val="0"/>
      <w:autoSpaceDE w:val="0"/>
      <w:autoSpaceDN w:val="0"/>
      <w:adjustRightInd w:val="0"/>
      <w:jc w:val="left"/>
    </w:pPr>
    <w:rPr>
      <w:rFonts w:ascii="Calibri" w:eastAsiaTheme="minorEastAsia" w:hAnsi="Calibri" w:cs="Calibri"/>
      <w:color w:val="auto"/>
      <w:sz w:val="24"/>
      <w:szCs w:val="24"/>
      <w:lang w:eastAsia="it-IT"/>
    </w:rPr>
  </w:style>
  <w:style w:type="character" w:customStyle="1" w:styleId="FontStyle39">
    <w:name w:val="Font Style39"/>
    <w:basedOn w:val="Carpredefinitoparagrafo"/>
    <w:uiPriority w:val="99"/>
    <w:rsid w:val="00CE6296"/>
    <w:rPr>
      <w:rFonts w:ascii="Calibri" w:hAnsi="Calibri" w:cs="Calibri"/>
      <w:color w:val="000000"/>
      <w:sz w:val="24"/>
      <w:szCs w:val="24"/>
    </w:rPr>
  </w:style>
  <w:style w:type="character" w:customStyle="1" w:styleId="FontStyle40">
    <w:name w:val="Font Style40"/>
    <w:basedOn w:val="Carpredefinitoparagrafo"/>
    <w:uiPriority w:val="99"/>
    <w:rsid w:val="00CE6296"/>
    <w:rPr>
      <w:rFonts w:ascii="Calibri" w:hAnsi="Calibri" w:cs="Calibri"/>
      <w:b/>
      <w:bCs/>
      <w:color w:val="000000"/>
      <w:sz w:val="24"/>
      <w:szCs w:val="24"/>
    </w:rPr>
  </w:style>
  <w:style w:type="paragraph" w:customStyle="1" w:styleId="provvestremo">
    <w:name w:val="provv_estremo"/>
    <w:basedOn w:val="Normale"/>
    <w:rsid w:val="00AB3E7D"/>
    <w:pPr>
      <w:spacing w:before="100" w:beforeAutospacing="1" w:after="20"/>
    </w:pPr>
    <w:rPr>
      <w:rFonts w:eastAsia="Times New Roman" w:cs="Times New Roman"/>
      <w:b/>
      <w:bCs/>
      <w:color w:val="auto"/>
      <w:sz w:val="24"/>
      <w:szCs w:val="24"/>
      <w:lang w:eastAsia="it-IT"/>
    </w:rPr>
  </w:style>
  <w:style w:type="character" w:customStyle="1" w:styleId="anchorantimarker">
    <w:name w:val="anchor_anti_marker"/>
    <w:basedOn w:val="Carpredefinitoparagrafo"/>
    <w:rsid w:val="00AB3E7D"/>
    <w:rPr>
      <w:color w:val="000000"/>
    </w:rPr>
  </w:style>
  <w:style w:type="character" w:customStyle="1" w:styleId="FontStyle62">
    <w:name w:val="Font Style62"/>
    <w:basedOn w:val="Carpredefinitoparagrafo"/>
    <w:uiPriority w:val="99"/>
    <w:rsid w:val="007D5A96"/>
    <w:rPr>
      <w:rFonts w:ascii="Arial" w:hAnsi="Arial" w:cs="Arial"/>
      <w:i/>
      <w:iCs/>
      <w:color w:val="000000"/>
      <w:spacing w:val="-10"/>
      <w:sz w:val="18"/>
      <w:szCs w:val="18"/>
    </w:rPr>
  </w:style>
  <w:style w:type="paragraph" w:styleId="Revisione">
    <w:name w:val="Revision"/>
    <w:hidden/>
    <w:uiPriority w:val="99"/>
    <w:semiHidden/>
    <w:rsid w:val="00DD0A15"/>
    <w:pPr>
      <w:spacing w:before="0" w:after="0"/>
      <w:jc w:val="left"/>
    </w:pPr>
    <w:rPr>
      <w:rFonts w:ascii="Times New Roman" w:hAnsi="Times New Roman"/>
      <w:color w:val="000000" w:themeColor="text1"/>
    </w:rPr>
  </w:style>
  <w:style w:type="character" w:customStyle="1" w:styleId="s2">
    <w:name w:val="s2"/>
    <w:basedOn w:val="Carpredefinitoparagrafo"/>
    <w:rsid w:val="007834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before="240" w:after="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5B9A"/>
    <w:pPr>
      <w:spacing w:before="0" w:after="0"/>
      <w:jc w:val="both"/>
    </w:pPr>
    <w:rPr>
      <w:rFonts w:ascii="Times New Roman" w:hAnsi="Times New Roman"/>
      <w:color w:val="000000" w:themeColor="text1"/>
    </w:rPr>
  </w:style>
  <w:style w:type="paragraph" w:styleId="Titolo1">
    <w:name w:val="heading 1"/>
    <w:basedOn w:val="Normale"/>
    <w:next w:val="Normale"/>
    <w:link w:val="Titolo1Carattere"/>
    <w:uiPriority w:val="9"/>
    <w:qFormat/>
    <w:rsid w:val="00795C3C"/>
    <w:pPr>
      <w:widowControl w:val="0"/>
      <w:jc w:val="center"/>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EA247B"/>
    <w:pPr>
      <w:widowControl w:val="0"/>
      <w:spacing w:after="120"/>
      <w:jc w:val="center"/>
      <w:outlineLvl w:val="1"/>
    </w:pPr>
    <w:rPr>
      <w:rFonts w:eastAsia="Times New Roman" w:cs="Times New Roman"/>
      <w:b/>
      <w:bCs/>
      <w:i/>
      <w:iCs/>
      <w:szCs w:val="28"/>
      <w:lang w:eastAsia="it-IT"/>
    </w:rPr>
  </w:style>
  <w:style w:type="paragraph" w:styleId="Titolo3">
    <w:name w:val="heading 3"/>
    <w:basedOn w:val="Normale"/>
    <w:next w:val="Normale"/>
    <w:link w:val="Titolo3Carattere"/>
    <w:uiPriority w:val="9"/>
    <w:unhideWhenUsed/>
    <w:qFormat/>
    <w:rsid w:val="007B3EE5"/>
    <w:pPr>
      <w:widowControl w:val="0"/>
      <w:jc w:val="center"/>
      <w:outlineLvl w:val="2"/>
    </w:pPr>
    <w:rPr>
      <w:rFonts w:eastAsiaTheme="majorEastAsia" w:cstheme="majorBidi"/>
      <w:b/>
      <w:bCs/>
      <w:i/>
      <w:color w:val="auto"/>
    </w:rPr>
  </w:style>
  <w:style w:type="paragraph" w:styleId="Titolo4">
    <w:name w:val="heading 4"/>
    <w:basedOn w:val="Normale"/>
    <w:next w:val="Normale"/>
    <w:link w:val="Titolo4Carattere"/>
    <w:uiPriority w:val="9"/>
    <w:unhideWhenUsed/>
    <w:qFormat/>
    <w:rsid w:val="002078A3"/>
    <w:pPr>
      <w:keepNext/>
      <w:keepLines/>
      <w:spacing w:before="20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semiHidden/>
    <w:unhideWhenUsed/>
    <w:qFormat/>
    <w:rsid w:val="00447550"/>
    <w:pPr>
      <w:keepNext/>
      <w:keepLines/>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D009B2"/>
    <w:pPr>
      <w:keepNext/>
      <w:keepLines/>
      <w:spacing w:before="4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F4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Punto elenco 1,Paragraphe EI,Paragraphe de liste1,EC"/>
    <w:basedOn w:val="Normale"/>
    <w:link w:val="ParagrafoelencoCarattere"/>
    <w:uiPriority w:val="34"/>
    <w:qFormat/>
    <w:rsid w:val="0079036E"/>
    <w:pPr>
      <w:spacing w:after="200" w:line="276" w:lineRule="auto"/>
      <w:ind w:left="720"/>
      <w:contextualSpacing/>
    </w:pPr>
    <w:rPr>
      <w:rFonts w:ascii="Calibri" w:eastAsia="Calibri" w:hAnsi="Calibri" w:cs="Times New Roman"/>
      <w:lang w:val="en-US"/>
    </w:rPr>
  </w:style>
  <w:style w:type="paragraph" w:styleId="Testonotaapidipagina">
    <w:name w:val="footnote text"/>
    <w:basedOn w:val="Normale"/>
    <w:link w:val="TestonotaapidipaginaCarattere"/>
    <w:uiPriority w:val="99"/>
    <w:unhideWhenUsed/>
    <w:rsid w:val="0079036E"/>
    <w:rPr>
      <w:rFonts w:ascii="Arial" w:eastAsia="Times New Roman" w:hAnsi="Arial"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79036E"/>
    <w:rPr>
      <w:rFonts w:ascii="Arial" w:eastAsia="Times New Roman" w:hAnsi="Arial" w:cs="Times New Roman"/>
      <w:sz w:val="20"/>
      <w:szCs w:val="20"/>
      <w:lang w:eastAsia="it-IT"/>
    </w:rPr>
  </w:style>
  <w:style w:type="character" w:styleId="Rimandonotaapidipagina">
    <w:name w:val="footnote reference"/>
    <w:uiPriority w:val="99"/>
    <w:unhideWhenUsed/>
    <w:rsid w:val="0079036E"/>
    <w:rPr>
      <w:vertAlign w:val="superscript"/>
    </w:rPr>
  </w:style>
  <w:style w:type="paragraph" w:styleId="NormaleWeb">
    <w:name w:val="Normal (Web)"/>
    <w:basedOn w:val="Normale"/>
    <w:uiPriority w:val="99"/>
    <w:unhideWhenUsed/>
    <w:rsid w:val="006B0877"/>
    <w:pPr>
      <w:spacing w:before="100" w:beforeAutospacing="1" w:after="100" w:afterAutospacing="1"/>
    </w:pPr>
    <w:rPr>
      <w:rFonts w:cs="Times New Roman"/>
      <w:sz w:val="24"/>
      <w:szCs w:val="24"/>
      <w:lang w:val="en-US"/>
    </w:rPr>
  </w:style>
  <w:style w:type="paragraph" w:styleId="Testofumetto">
    <w:name w:val="Balloon Text"/>
    <w:basedOn w:val="Normale"/>
    <w:link w:val="TestofumettoCarattere"/>
    <w:uiPriority w:val="99"/>
    <w:semiHidden/>
    <w:unhideWhenUsed/>
    <w:rsid w:val="0012129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21298"/>
    <w:rPr>
      <w:rFonts w:ascii="Segoe UI" w:hAnsi="Segoe UI" w:cs="Segoe UI"/>
      <w:sz w:val="18"/>
      <w:szCs w:val="18"/>
    </w:rPr>
  </w:style>
  <w:style w:type="paragraph" w:styleId="Intestazione">
    <w:name w:val="header"/>
    <w:basedOn w:val="Normale"/>
    <w:link w:val="IntestazioneCarattere"/>
    <w:uiPriority w:val="99"/>
    <w:unhideWhenUsed/>
    <w:rsid w:val="00C57672"/>
    <w:pPr>
      <w:tabs>
        <w:tab w:val="center" w:pos="4819"/>
        <w:tab w:val="right" w:pos="9638"/>
      </w:tabs>
    </w:pPr>
  </w:style>
  <w:style w:type="character" w:customStyle="1" w:styleId="IntestazioneCarattere">
    <w:name w:val="Intestazione Carattere"/>
    <w:basedOn w:val="Carpredefinitoparagrafo"/>
    <w:link w:val="Intestazione"/>
    <w:uiPriority w:val="99"/>
    <w:rsid w:val="00C57672"/>
  </w:style>
  <w:style w:type="paragraph" w:styleId="Pidipagina">
    <w:name w:val="footer"/>
    <w:basedOn w:val="Normale"/>
    <w:link w:val="PidipaginaCarattere"/>
    <w:uiPriority w:val="99"/>
    <w:unhideWhenUsed/>
    <w:rsid w:val="00C57672"/>
    <w:pPr>
      <w:tabs>
        <w:tab w:val="center" w:pos="4819"/>
        <w:tab w:val="right" w:pos="9638"/>
      </w:tabs>
    </w:pPr>
  </w:style>
  <w:style w:type="character" w:customStyle="1" w:styleId="PidipaginaCarattere">
    <w:name w:val="Piè di pagina Carattere"/>
    <w:basedOn w:val="Carpredefinitoparagrafo"/>
    <w:link w:val="Pidipagina"/>
    <w:uiPriority w:val="99"/>
    <w:rsid w:val="00C57672"/>
  </w:style>
  <w:style w:type="character" w:styleId="Rimandocommento">
    <w:name w:val="annotation reference"/>
    <w:basedOn w:val="Carpredefinitoparagrafo"/>
    <w:uiPriority w:val="99"/>
    <w:semiHidden/>
    <w:unhideWhenUsed/>
    <w:rsid w:val="008958A9"/>
    <w:rPr>
      <w:sz w:val="16"/>
      <w:szCs w:val="16"/>
    </w:rPr>
  </w:style>
  <w:style w:type="paragraph" w:styleId="Testocommento">
    <w:name w:val="annotation text"/>
    <w:basedOn w:val="Normale"/>
    <w:link w:val="TestocommentoCarattere"/>
    <w:uiPriority w:val="99"/>
    <w:unhideWhenUsed/>
    <w:rsid w:val="008958A9"/>
    <w:rPr>
      <w:sz w:val="20"/>
      <w:szCs w:val="20"/>
    </w:rPr>
  </w:style>
  <w:style w:type="character" w:customStyle="1" w:styleId="TestocommentoCarattere">
    <w:name w:val="Testo commento Carattere"/>
    <w:basedOn w:val="Carpredefinitoparagrafo"/>
    <w:link w:val="Testocommento"/>
    <w:uiPriority w:val="99"/>
    <w:rsid w:val="008958A9"/>
    <w:rPr>
      <w:sz w:val="20"/>
      <w:szCs w:val="20"/>
    </w:rPr>
  </w:style>
  <w:style w:type="paragraph" w:styleId="Soggettocommento">
    <w:name w:val="annotation subject"/>
    <w:basedOn w:val="Testocommento"/>
    <w:next w:val="Testocommento"/>
    <w:link w:val="SoggettocommentoCarattere"/>
    <w:uiPriority w:val="99"/>
    <w:semiHidden/>
    <w:unhideWhenUsed/>
    <w:rsid w:val="008958A9"/>
    <w:rPr>
      <w:b/>
      <w:bCs/>
    </w:rPr>
  </w:style>
  <w:style w:type="character" w:customStyle="1" w:styleId="SoggettocommentoCarattere">
    <w:name w:val="Soggetto commento Carattere"/>
    <w:basedOn w:val="TestocommentoCarattere"/>
    <w:link w:val="Soggettocommento"/>
    <w:uiPriority w:val="99"/>
    <w:semiHidden/>
    <w:rsid w:val="008958A9"/>
    <w:rPr>
      <w:b/>
      <w:bCs/>
      <w:sz w:val="20"/>
      <w:szCs w:val="20"/>
    </w:rPr>
  </w:style>
  <w:style w:type="paragraph" w:customStyle="1" w:styleId="Capitolo">
    <w:name w:val="Capitolo"/>
    <w:basedOn w:val="Normale"/>
    <w:rsid w:val="00044C4F"/>
    <w:rPr>
      <w:rFonts w:ascii="Verdana" w:eastAsia="Times New Roman" w:hAnsi="Verdana" w:cs="Times New Roman"/>
      <w:b/>
      <w:color w:val="002F63"/>
      <w:sz w:val="28"/>
      <w:szCs w:val="24"/>
      <w:lang w:eastAsia="it-IT"/>
    </w:rPr>
  </w:style>
  <w:style w:type="character" w:customStyle="1" w:styleId="Titolo2Carattere">
    <w:name w:val="Titolo 2 Carattere"/>
    <w:basedOn w:val="Carpredefinitoparagrafo"/>
    <w:link w:val="Titolo2"/>
    <w:uiPriority w:val="9"/>
    <w:rsid w:val="00EA247B"/>
    <w:rPr>
      <w:rFonts w:ascii="Times New Roman" w:eastAsia="Times New Roman" w:hAnsi="Times New Roman" w:cs="Times New Roman"/>
      <w:b/>
      <w:bCs/>
      <w:i/>
      <w:iCs/>
      <w:color w:val="000000" w:themeColor="text1"/>
      <w:szCs w:val="28"/>
      <w:lang w:eastAsia="it-IT"/>
    </w:rPr>
  </w:style>
  <w:style w:type="paragraph" w:styleId="Testonormale">
    <w:name w:val="Plain Text"/>
    <w:basedOn w:val="Normale"/>
    <w:link w:val="TestonormaleCarattere"/>
    <w:uiPriority w:val="99"/>
    <w:unhideWhenUsed/>
    <w:rsid w:val="00AC1E6D"/>
    <w:rPr>
      <w:rFonts w:ascii="Consolas" w:hAnsi="Consolas"/>
      <w:sz w:val="21"/>
      <w:szCs w:val="21"/>
    </w:rPr>
  </w:style>
  <w:style w:type="character" w:customStyle="1" w:styleId="TestonormaleCarattere">
    <w:name w:val="Testo normale Carattere"/>
    <w:basedOn w:val="Carpredefinitoparagrafo"/>
    <w:link w:val="Testonormale"/>
    <w:uiPriority w:val="99"/>
    <w:rsid w:val="00AC1E6D"/>
    <w:rPr>
      <w:rFonts w:ascii="Consolas" w:hAnsi="Consolas"/>
      <w:sz w:val="21"/>
      <w:szCs w:val="21"/>
    </w:rPr>
  </w:style>
  <w:style w:type="character" w:styleId="Collegamentoipertestuale">
    <w:name w:val="Hyperlink"/>
    <w:basedOn w:val="Carpredefinitoparagrafo"/>
    <w:uiPriority w:val="99"/>
    <w:unhideWhenUsed/>
    <w:rsid w:val="00DD4CFD"/>
    <w:rPr>
      <w:color w:val="0000FF"/>
      <w:u w:val="single"/>
    </w:rPr>
  </w:style>
  <w:style w:type="character" w:customStyle="1" w:styleId="ParagrafoelencoCarattere">
    <w:name w:val="Paragrafo elenco Carattere"/>
    <w:aliases w:val="Punto elenco 1 Carattere,Paragraphe EI Carattere,Paragraphe de liste1 Carattere,EC Carattere"/>
    <w:link w:val="Paragrafoelenco"/>
    <w:uiPriority w:val="34"/>
    <w:locked/>
    <w:rsid w:val="001F5A5E"/>
    <w:rPr>
      <w:rFonts w:ascii="Calibri" w:eastAsia="Calibri" w:hAnsi="Calibri" w:cs="Times New Roman"/>
      <w:lang w:val="en-US"/>
    </w:rPr>
  </w:style>
  <w:style w:type="character" w:customStyle="1" w:styleId="Titolo3Carattere">
    <w:name w:val="Titolo 3 Carattere"/>
    <w:basedOn w:val="Carpredefinitoparagrafo"/>
    <w:link w:val="Titolo3"/>
    <w:uiPriority w:val="9"/>
    <w:rsid w:val="007B3EE5"/>
    <w:rPr>
      <w:rFonts w:ascii="Times New Roman" w:eastAsiaTheme="majorEastAsia" w:hAnsi="Times New Roman" w:cstheme="majorBidi"/>
      <w:b/>
      <w:bCs/>
      <w:i/>
    </w:rPr>
  </w:style>
  <w:style w:type="character" w:customStyle="1" w:styleId="Titolo1Carattere">
    <w:name w:val="Titolo 1 Carattere"/>
    <w:basedOn w:val="Carpredefinitoparagrafo"/>
    <w:link w:val="Titolo1"/>
    <w:uiPriority w:val="9"/>
    <w:rsid w:val="00795C3C"/>
    <w:rPr>
      <w:rFonts w:ascii="Times New Roman" w:eastAsiaTheme="majorEastAsia" w:hAnsi="Times New Roman" w:cstheme="majorBidi"/>
      <w:b/>
      <w:color w:val="000000" w:themeColor="text1"/>
      <w:sz w:val="24"/>
      <w:szCs w:val="32"/>
    </w:rPr>
  </w:style>
  <w:style w:type="paragraph" w:styleId="Titolosommario">
    <w:name w:val="TOC Heading"/>
    <w:basedOn w:val="Titolo1"/>
    <w:next w:val="Normale"/>
    <w:uiPriority w:val="39"/>
    <w:unhideWhenUsed/>
    <w:qFormat/>
    <w:rsid w:val="002D356A"/>
    <w:pPr>
      <w:jc w:val="left"/>
      <w:outlineLvl w:val="9"/>
    </w:pPr>
    <w:rPr>
      <w:rFonts w:asciiTheme="majorHAnsi" w:hAnsiTheme="majorHAnsi"/>
      <w:b w:val="0"/>
      <w:color w:val="2E74B5" w:themeColor="accent1" w:themeShade="BF"/>
      <w:lang w:eastAsia="it-IT"/>
    </w:rPr>
  </w:style>
  <w:style w:type="paragraph" w:styleId="Sommario1">
    <w:name w:val="toc 1"/>
    <w:basedOn w:val="Normale"/>
    <w:next w:val="Normale"/>
    <w:autoRedefine/>
    <w:uiPriority w:val="39"/>
    <w:unhideWhenUsed/>
    <w:qFormat/>
    <w:rsid w:val="002D356A"/>
    <w:pPr>
      <w:spacing w:before="120" w:after="120"/>
      <w:jc w:val="left"/>
    </w:pPr>
    <w:rPr>
      <w:rFonts w:asciiTheme="minorHAnsi" w:hAnsiTheme="minorHAnsi"/>
      <w:b/>
      <w:bCs/>
      <w:caps/>
      <w:sz w:val="20"/>
      <w:szCs w:val="20"/>
    </w:rPr>
  </w:style>
  <w:style w:type="paragraph" w:styleId="Sommario2">
    <w:name w:val="toc 2"/>
    <w:basedOn w:val="Normale"/>
    <w:next w:val="Normale"/>
    <w:autoRedefine/>
    <w:uiPriority w:val="39"/>
    <w:unhideWhenUsed/>
    <w:qFormat/>
    <w:rsid w:val="002D356A"/>
    <w:pPr>
      <w:ind w:left="220"/>
      <w:jc w:val="left"/>
    </w:pPr>
    <w:rPr>
      <w:rFonts w:asciiTheme="minorHAnsi" w:hAnsiTheme="minorHAnsi"/>
      <w:smallCaps/>
      <w:sz w:val="20"/>
      <w:szCs w:val="20"/>
    </w:rPr>
  </w:style>
  <w:style w:type="paragraph" w:styleId="Sommario3">
    <w:name w:val="toc 3"/>
    <w:basedOn w:val="Normale"/>
    <w:next w:val="Normale"/>
    <w:autoRedefine/>
    <w:uiPriority w:val="39"/>
    <w:unhideWhenUsed/>
    <w:qFormat/>
    <w:rsid w:val="002D356A"/>
    <w:pPr>
      <w:ind w:left="440"/>
      <w:jc w:val="left"/>
    </w:pPr>
    <w:rPr>
      <w:rFonts w:asciiTheme="minorHAnsi" w:hAnsiTheme="minorHAnsi"/>
      <w:i/>
      <w:iCs/>
      <w:sz w:val="20"/>
      <w:szCs w:val="20"/>
    </w:rPr>
  </w:style>
  <w:style w:type="paragraph" w:styleId="Nessunaspaziatura">
    <w:name w:val="No Spacing"/>
    <w:aliases w:val="normale"/>
    <w:link w:val="NessunaspaziaturaCarattere"/>
    <w:uiPriority w:val="1"/>
    <w:qFormat/>
    <w:rsid w:val="0065700C"/>
    <w:pPr>
      <w:jc w:val="left"/>
    </w:pPr>
    <w:rPr>
      <w:rFonts w:ascii="Calibri" w:eastAsia="Calibri" w:hAnsi="Calibri" w:cs="Times New Roman"/>
    </w:rPr>
  </w:style>
  <w:style w:type="character" w:customStyle="1" w:styleId="Nessuno">
    <w:name w:val="Nessuno"/>
    <w:rsid w:val="00523D2D"/>
    <w:rPr>
      <w:lang w:val="it-IT"/>
    </w:rPr>
  </w:style>
  <w:style w:type="paragraph" w:customStyle="1" w:styleId="Default">
    <w:name w:val="Default"/>
    <w:rsid w:val="00FD270C"/>
    <w:pPr>
      <w:autoSpaceDE w:val="0"/>
      <w:autoSpaceDN w:val="0"/>
      <w:adjustRightInd w:val="0"/>
      <w:spacing w:before="0" w:after="0"/>
      <w:jc w:val="left"/>
    </w:pPr>
    <w:rPr>
      <w:rFonts w:ascii="Arial" w:hAnsi="Arial" w:cs="Arial"/>
      <w:color w:val="000000"/>
      <w:sz w:val="24"/>
      <w:szCs w:val="24"/>
    </w:rPr>
  </w:style>
  <w:style w:type="paragraph" w:styleId="Sommario4">
    <w:name w:val="toc 4"/>
    <w:basedOn w:val="Normale"/>
    <w:next w:val="Normale"/>
    <w:autoRedefine/>
    <w:uiPriority w:val="39"/>
    <w:unhideWhenUsed/>
    <w:rsid w:val="00E83E06"/>
    <w:pPr>
      <w:ind w:left="660"/>
      <w:jc w:val="left"/>
    </w:pPr>
    <w:rPr>
      <w:rFonts w:asciiTheme="minorHAnsi" w:hAnsiTheme="minorHAnsi"/>
      <w:sz w:val="18"/>
      <w:szCs w:val="18"/>
    </w:rPr>
  </w:style>
  <w:style w:type="paragraph" w:styleId="Sommario5">
    <w:name w:val="toc 5"/>
    <w:basedOn w:val="Normale"/>
    <w:next w:val="Normale"/>
    <w:autoRedefine/>
    <w:uiPriority w:val="39"/>
    <w:unhideWhenUsed/>
    <w:rsid w:val="00E83E06"/>
    <w:pPr>
      <w:ind w:left="880"/>
      <w:jc w:val="left"/>
    </w:pPr>
    <w:rPr>
      <w:rFonts w:asciiTheme="minorHAnsi" w:hAnsiTheme="minorHAnsi"/>
      <w:sz w:val="18"/>
      <w:szCs w:val="18"/>
    </w:rPr>
  </w:style>
  <w:style w:type="paragraph" w:styleId="Sommario6">
    <w:name w:val="toc 6"/>
    <w:basedOn w:val="Normale"/>
    <w:next w:val="Normale"/>
    <w:autoRedefine/>
    <w:uiPriority w:val="39"/>
    <w:unhideWhenUsed/>
    <w:rsid w:val="00E83E06"/>
    <w:pPr>
      <w:ind w:left="1100"/>
      <w:jc w:val="left"/>
    </w:pPr>
    <w:rPr>
      <w:rFonts w:asciiTheme="minorHAnsi" w:hAnsiTheme="minorHAnsi"/>
      <w:sz w:val="18"/>
      <w:szCs w:val="18"/>
    </w:rPr>
  </w:style>
  <w:style w:type="paragraph" w:styleId="Sommario7">
    <w:name w:val="toc 7"/>
    <w:basedOn w:val="Normale"/>
    <w:next w:val="Normale"/>
    <w:autoRedefine/>
    <w:uiPriority w:val="39"/>
    <w:unhideWhenUsed/>
    <w:rsid w:val="00E83E06"/>
    <w:pPr>
      <w:ind w:left="1320"/>
      <w:jc w:val="left"/>
    </w:pPr>
    <w:rPr>
      <w:rFonts w:asciiTheme="minorHAnsi" w:hAnsiTheme="minorHAnsi"/>
      <w:sz w:val="18"/>
      <w:szCs w:val="18"/>
    </w:rPr>
  </w:style>
  <w:style w:type="paragraph" w:styleId="Sommario8">
    <w:name w:val="toc 8"/>
    <w:basedOn w:val="Normale"/>
    <w:next w:val="Normale"/>
    <w:autoRedefine/>
    <w:uiPriority w:val="39"/>
    <w:unhideWhenUsed/>
    <w:rsid w:val="00E83E06"/>
    <w:pPr>
      <w:ind w:left="1540"/>
      <w:jc w:val="left"/>
    </w:pPr>
    <w:rPr>
      <w:rFonts w:asciiTheme="minorHAnsi" w:hAnsiTheme="minorHAnsi"/>
      <w:sz w:val="18"/>
      <w:szCs w:val="18"/>
    </w:rPr>
  </w:style>
  <w:style w:type="paragraph" w:styleId="Sommario9">
    <w:name w:val="toc 9"/>
    <w:basedOn w:val="Normale"/>
    <w:next w:val="Normale"/>
    <w:autoRedefine/>
    <w:uiPriority w:val="39"/>
    <w:unhideWhenUsed/>
    <w:rsid w:val="00E83E06"/>
    <w:pPr>
      <w:ind w:left="1760"/>
      <w:jc w:val="left"/>
    </w:pPr>
    <w:rPr>
      <w:rFonts w:asciiTheme="minorHAnsi" w:hAnsiTheme="minorHAnsi"/>
      <w:sz w:val="18"/>
      <w:szCs w:val="18"/>
    </w:rPr>
  </w:style>
  <w:style w:type="paragraph" w:styleId="Testonotadichiusura">
    <w:name w:val="endnote text"/>
    <w:basedOn w:val="Normale"/>
    <w:link w:val="TestonotadichiusuraCarattere"/>
    <w:uiPriority w:val="99"/>
    <w:unhideWhenUsed/>
    <w:rsid w:val="00583528"/>
    <w:pPr>
      <w:jc w:val="left"/>
    </w:pPr>
    <w:rPr>
      <w:rFonts w:asciiTheme="minorHAnsi" w:hAnsiTheme="minorHAnsi"/>
      <w:color w:val="auto"/>
      <w:sz w:val="20"/>
      <w:szCs w:val="20"/>
    </w:rPr>
  </w:style>
  <w:style w:type="character" w:customStyle="1" w:styleId="TestonotadichiusuraCarattere">
    <w:name w:val="Testo nota di chiusura Carattere"/>
    <w:basedOn w:val="Carpredefinitoparagrafo"/>
    <w:link w:val="Testonotadichiusura"/>
    <w:uiPriority w:val="99"/>
    <w:rsid w:val="00583528"/>
    <w:rPr>
      <w:sz w:val="20"/>
      <w:szCs w:val="20"/>
    </w:rPr>
  </w:style>
  <w:style w:type="character" w:styleId="Rimandonotadichiusura">
    <w:name w:val="endnote reference"/>
    <w:basedOn w:val="Carpredefinitoparagrafo"/>
    <w:uiPriority w:val="99"/>
    <w:semiHidden/>
    <w:unhideWhenUsed/>
    <w:rsid w:val="00583528"/>
    <w:rPr>
      <w:vertAlign w:val="superscript"/>
    </w:rPr>
  </w:style>
  <w:style w:type="table" w:customStyle="1" w:styleId="Grigliatabella1">
    <w:name w:val="Griglia tabella1"/>
    <w:basedOn w:val="Tabellanormale"/>
    <w:uiPriority w:val="59"/>
    <w:rsid w:val="00FB11DB"/>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rsid w:val="002078A3"/>
    <w:rPr>
      <w:rFonts w:asciiTheme="majorHAnsi" w:eastAsiaTheme="majorEastAsia" w:hAnsiTheme="majorHAnsi" w:cstheme="majorBidi"/>
      <w:b/>
      <w:bCs/>
      <w:i/>
      <w:iCs/>
      <w:color w:val="5B9BD5" w:themeColor="accent1"/>
    </w:rPr>
  </w:style>
  <w:style w:type="character" w:customStyle="1" w:styleId="apple-converted-space">
    <w:name w:val="apple-converted-space"/>
    <w:rsid w:val="000D500E"/>
  </w:style>
  <w:style w:type="character" w:styleId="Enfasigrassetto">
    <w:name w:val="Strong"/>
    <w:uiPriority w:val="22"/>
    <w:qFormat/>
    <w:rsid w:val="000D500E"/>
    <w:rPr>
      <w:b/>
      <w:bCs/>
    </w:rPr>
  </w:style>
  <w:style w:type="numbering" w:customStyle="1" w:styleId="Nessunelenco1">
    <w:name w:val="Nessun elenco1"/>
    <w:next w:val="Nessunelenco"/>
    <w:uiPriority w:val="99"/>
    <w:semiHidden/>
    <w:unhideWhenUsed/>
    <w:rsid w:val="00845AEC"/>
  </w:style>
  <w:style w:type="character" w:styleId="Collegamentovisitato">
    <w:name w:val="FollowedHyperlink"/>
    <w:basedOn w:val="Carpredefinitoparagrafo"/>
    <w:uiPriority w:val="99"/>
    <w:semiHidden/>
    <w:unhideWhenUsed/>
    <w:rsid w:val="00845AEC"/>
    <w:rPr>
      <w:color w:val="954F72"/>
      <w:u w:val="single"/>
    </w:rPr>
  </w:style>
  <w:style w:type="paragraph" w:styleId="Didascalia">
    <w:name w:val="caption"/>
    <w:basedOn w:val="Normale"/>
    <w:uiPriority w:val="35"/>
    <w:semiHidden/>
    <w:unhideWhenUsed/>
    <w:qFormat/>
    <w:rsid w:val="00845AEC"/>
    <w:pPr>
      <w:spacing w:after="200"/>
      <w:jc w:val="left"/>
    </w:pPr>
    <w:rPr>
      <w:rFonts w:ascii="Cambria" w:hAnsi="Cambria" w:cs="Times New Roman"/>
      <w:b/>
      <w:bCs/>
      <w:color w:val="4F81BD"/>
      <w:sz w:val="18"/>
      <w:szCs w:val="18"/>
    </w:rPr>
  </w:style>
  <w:style w:type="paragraph" w:styleId="Indicedellefigure">
    <w:name w:val="table of figures"/>
    <w:basedOn w:val="Normale"/>
    <w:uiPriority w:val="99"/>
    <w:semiHidden/>
    <w:unhideWhenUsed/>
    <w:rsid w:val="00845AEC"/>
    <w:pPr>
      <w:spacing w:line="276" w:lineRule="auto"/>
      <w:jc w:val="left"/>
    </w:pPr>
    <w:rPr>
      <w:rFonts w:ascii="Cambria" w:hAnsi="Cambria" w:cs="Times New Roman"/>
      <w:color w:val="auto"/>
      <w:sz w:val="24"/>
      <w:szCs w:val="24"/>
    </w:rPr>
  </w:style>
  <w:style w:type="paragraph" w:styleId="Titolo">
    <w:name w:val="Title"/>
    <w:basedOn w:val="Normale"/>
    <w:link w:val="TitoloCarattere"/>
    <w:uiPriority w:val="10"/>
    <w:qFormat/>
    <w:rsid w:val="00845AEC"/>
    <w:pPr>
      <w:spacing w:after="300"/>
      <w:contextualSpacing/>
      <w:jc w:val="left"/>
    </w:pPr>
    <w:rPr>
      <w:rFonts w:ascii="Cambria" w:hAnsi="Cambria" w:cs="Times New Roman"/>
      <w:color w:val="17365D"/>
      <w:spacing w:val="5"/>
      <w:sz w:val="52"/>
      <w:szCs w:val="52"/>
    </w:rPr>
  </w:style>
  <w:style w:type="character" w:customStyle="1" w:styleId="TitoloCarattere">
    <w:name w:val="Titolo Carattere"/>
    <w:basedOn w:val="Carpredefinitoparagrafo"/>
    <w:link w:val="Titolo"/>
    <w:uiPriority w:val="10"/>
    <w:rsid w:val="00845AEC"/>
    <w:rPr>
      <w:rFonts w:ascii="Cambria" w:hAnsi="Cambria" w:cs="Times New Roman"/>
      <w:color w:val="17365D"/>
      <w:spacing w:val="5"/>
      <w:sz w:val="52"/>
      <w:szCs w:val="52"/>
    </w:rPr>
  </w:style>
  <w:style w:type="paragraph" w:styleId="Sottotitolo">
    <w:name w:val="Subtitle"/>
    <w:basedOn w:val="Normale"/>
    <w:link w:val="SottotitoloCarattere"/>
    <w:uiPriority w:val="11"/>
    <w:qFormat/>
    <w:rsid w:val="00845AEC"/>
    <w:pPr>
      <w:spacing w:after="200" w:line="276" w:lineRule="auto"/>
      <w:jc w:val="left"/>
    </w:pPr>
    <w:rPr>
      <w:rFonts w:ascii="Cambria" w:hAnsi="Cambria" w:cs="Times New Roman"/>
      <w:i/>
      <w:iCs/>
      <w:color w:val="4F81BD"/>
      <w:spacing w:val="15"/>
      <w:sz w:val="24"/>
      <w:szCs w:val="24"/>
    </w:rPr>
  </w:style>
  <w:style w:type="character" w:customStyle="1" w:styleId="SottotitoloCarattere">
    <w:name w:val="Sottotitolo Carattere"/>
    <w:basedOn w:val="Carpredefinitoparagrafo"/>
    <w:link w:val="Sottotitolo"/>
    <w:uiPriority w:val="11"/>
    <w:rsid w:val="00845AEC"/>
    <w:rPr>
      <w:rFonts w:ascii="Cambria" w:hAnsi="Cambria" w:cs="Times New Roman"/>
      <w:i/>
      <w:iCs/>
      <w:color w:val="4F81BD"/>
      <w:spacing w:val="15"/>
      <w:sz w:val="24"/>
      <w:szCs w:val="24"/>
    </w:rPr>
  </w:style>
  <w:style w:type="paragraph" w:customStyle="1" w:styleId="msochpdefault">
    <w:name w:val="msochpdefault"/>
    <w:basedOn w:val="Normale"/>
    <w:uiPriority w:val="99"/>
    <w:semiHidden/>
    <w:rsid w:val="00845AEC"/>
    <w:pPr>
      <w:spacing w:before="100" w:beforeAutospacing="1" w:after="100" w:afterAutospacing="1"/>
      <w:jc w:val="left"/>
    </w:pPr>
    <w:rPr>
      <w:rFonts w:cs="Times New Roman"/>
      <w:color w:val="auto"/>
      <w:sz w:val="20"/>
      <w:szCs w:val="20"/>
      <w:lang w:eastAsia="it-IT"/>
    </w:rPr>
  </w:style>
  <w:style w:type="character" w:customStyle="1" w:styleId="SoseParL1CorsivoCarattere">
    <w:name w:val="SoseParL1Corsivo Carattere"/>
    <w:basedOn w:val="Carpredefinitoparagrafo"/>
    <w:link w:val="SoseParL1Corsivo"/>
    <w:uiPriority w:val="99"/>
    <w:semiHidden/>
    <w:locked/>
    <w:rsid w:val="00845AEC"/>
    <w:rPr>
      <w:rFonts w:ascii="Trebuchet MS" w:hAnsi="Trebuchet MS"/>
      <w:i/>
      <w:iCs/>
      <w:color w:val="062A5E"/>
    </w:rPr>
  </w:style>
  <w:style w:type="paragraph" w:customStyle="1" w:styleId="SoseParL1Corsivo">
    <w:name w:val="SoseParL1Corsivo"/>
    <w:basedOn w:val="Normale"/>
    <w:link w:val="SoseParL1CorsivoCarattere"/>
    <w:uiPriority w:val="99"/>
    <w:semiHidden/>
    <w:rsid w:val="00845AEC"/>
    <w:pPr>
      <w:spacing w:before="120"/>
      <w:ind w:firstLine="709"/>
    </w:pPr>
    <w:rPr>
      <w:rFonts w:ascii="Trebuchet MS" w:hAnsi="Trebuchet MS"/>
      <w:i/>
      <w:iCs/>
      <w:color w:val="062A5E"/>
    </w:rPr>
  </w:style>
  <w:style w:type="character" w:customStyle="1" w:styleId="stilemessaggiodipostaelettronica17">
    <w:name w:val="stilemessaggiodipostaelettronica17"/>
    <w:basedOn w:val="Carpredefinitoparagrafo"/>
    <w:rsid w:val="00845AEC"/>
    <w:rPr>
      <w:rFonts w:ascii="Calibri" w:hAnsi="Calibri" w:hint="default"/>
      <w:color w:val="1F497D"/>
    </w:rPr>
  </w:style>
  <w:style w:type="character" w:customStyle="1" w:styleId="stilemessaggiodipostaelettronica60">
    <w:name w:val="stilemessaggiodipostaelettronica60"/>
    <w:basedOn w:val="Carpredefinitoparagrafo"/>
    <w:semiHidden/>
    <w:rsid w:val="00845AEC"/>
    <w:rPr>
      <w:rFonts w:ascii="Calibri" w:hAnsi="Calibri" w:hint="default"/>
      <w:color w:val="1F497D"/>
    </w:rPr>
  </w:style>
  <w:style w:type="character" w:customStyle="1" w:styleId="stilemessaggiodipostaelettronica61">
    <w:name w:val="stilemessaggiodipostaelettronica61"/>
    <w:basedOn w:val="Carpredefinitoparagrafo"/>
    <w:semiHidden/>
    <w:rsid w:val="00845AEC"/>
    <w:rPr>
      <w:rFonts w:ascii="Calibri" w:hAnsi="Calibri" w:hint="default"/>
      <w:color w:val="993366"/>
    </w:rPr>
  </w:style>
  <w:style w:type="character" w:customStyle="1" w:styleId="stilemessaggiodipostaelettronica62">
    <w:name w:val="stilemessaggiodipostaelettronica62"/>
    <w:basedOn w:val="Carpredefinitoparagrafo"/>
    <w:semiHidden/>
    <w:rsid w:val="00845AEC"/>
    <w:rPr>
      <w:rFonts w:ascii="Calibri" w:hAnsi="Calibri" w:hint="default"/>
      <w:color w:val="1F497D"/>
    </w:rPr>
  </w:style>
  <w:style w:type="character" w:customStyle="1" w:styleId="stilemessaggiodipostaelettronica63">
    <w:name w:val="stilemessaggiodipostaelettronica63"/>
    <w:basedOn w:val="Carpredefinitoparagrafo"/>
    <w:semiHidden/>
    <w:rsid w:val="00845AEC"/>
    <w:rPr>
      <w:rFonts w:ascii="Calibri" w:hAnsi="Calibri" w:hint="default"/>
      <w:color w:val="1F497D"/>
    </w:rPr>
  </w:style>
  <w:style w:type="character" w:customStyle="1" w:styleId="stilemessaggiodipostaelettronica64">
    <w:name w:val="stilemessaggiodipostaelettronica64"/>
    <w:basedOn w:val="Carpredefinitoparagrafo"/>
    <w:semiHidden/>
    <w:rsid w:val="00845AEC"/>
    <w:rPr>
      <w:rFonts w:ascii="Calibri" w:hAnsi="Calibri" w:hint="default"/>
      <w:color w:val="1F497D"/>
    </w:rPr>
  </w:style>
  <w:style w:type="character" w:customStyle="1" w:styleId="stilemessaggiodipostaelettronica65">
    <w:name w:val="stilemessaggiodipostaelettronica65"/>
    <w:basedOn w:val="Carpredefinitoparagrafo"/>
    <w:semiHidden/>
    <w:rsid w:val="00845AEC"/>
    <w:rPr>
      <w:rFonts w:ascii="Calibri" w:hAnsi="Calibri" w:hint="default"/>
      <w:color w:val="1F497D"/>
    </w:rPr>
  </w:style>
  <w:style w:type="character" w:customStyle="1" w:styleId="stilemessaggiodipostaelettronica66">
    <w:name w:val="stilemessaggiodipostaelettronica66"/>
    <w:basedOn w:val="Carpredefinitoparagrafo"/>
    <w:semiHidden/>
    <w:rsid w:val="00845AEC"/>
    <w:rPr>
      <w:rFonts w:ascii="Cambria" w:hAnsi="Cambria" w:hint="default"/>
      <w:b w:val="0"/>
      <w:bCs w:val="0"/>
      <w:i w:val="0"/>
      <w:iCs w:val="0"/>
      <w:strike w:val="0"/>
      <w:dstrike w:val="0"/>
      <w:color w:val="auto"/>
      <w:u w:val="none"/>
      <w:effect w:val="none"/>
    </w:rPr>
  </w:style>
  <w:style w:type="character" w:customStyle="1" w:styleId="stilemessaggiodipostaelettronica68">
    <w:name w:val="stilemessaggiodipostaelettronica68"/>
    <w:basedOn w:val="Carpredefinitoparagrafo"/>
    <w:semiHidden/>
    <w:rsid w:val="00845AEC"/>
    <w:rPr>
      <w:rFonts w:ascii="Calibri" w:hAnsi="Calibri" w:hint="default"/>
      <w:color w:val="1F497D"/>
    </w:rPr>
  </w:style>
  <w:style w:type="character" w:customStyle="1" w:styleId="stilemessaggiodipostaelettronica69">
    <w:name w:val="stilemessaggiodipostaelettronica69"/>
    <w:basedOn w:val="Carpredefinitoparagrafo"/>
    <w:semiHidden/>
    <w:rsid w:val="00845AEC"/>
    <w:rPr>
      <w:rFonts w:ascii="Calibri" w:hAnsi="Calibri" w:hint="default"/>
      <w:color w:val="1F497D"/>
    </w:rPr>
  </w:style>
  <w:style w:type="character" w:customStyle="1" w:styleId="stilemessaggiodipostaelettronica70">
    <w:name w:val="stilemessaggiodipostaelettronica70"/>
    <w:basedOn w:val="Carpredefinitoparagrafo"/>
    <w:semiHidden/>
    <w:rsid w:val="00845AEC"/>
    <w:rPr>
      <w:rFonts w:ascii="Calibri" w:hAnsi="Calibri" w:hint="default"/>
      <w:color w:val="1F497D"/>
    </w:rPr>
  </w:style>
  <w:style w:type="paragraph" w:customStyle="1" w:styleId="provvr0">
    <w:name w:val="provv_r0"/>
    <w:basedOn w:val="Normale"/>
    <w:rsid w:val="00491935"/>
    <w:pPr>
      <w:spacing w:before="100" w:beforeAutospacing="1" w:after="100" w:afterAutospacing="1"/>
      <w:jc w:val="left"/>
    </w:pPr>
    <w:rPr>
      <w:rFonts w:eastAsia="Times New Roman" w:cs="Times New Roman"/>
      <w:color w:val="auto"/>
      <w:sz w:val="24"/>
      <w:szCs w:val="24"/>
      <w:lang w:eastAsia="it-IT"/>
    </w:rPr>
  </w:style>
  <w:style w:type="character" w:customStyle="1" w:styleId="provvnumcomma">
    <w:name w:val="provv_numcomma"/>
    <w:basedOn w:val="Carpredefinitoparagrafo"/>
    <w:rsid w:val="00C261FC"/>
  </w:style>
  <w:style w:type="character" w:styleId="Enfasicorsivo">
    <w:name w:val="Emphasis"/>
    <w:uiPriority w:val="20"/>
    <w:qFormat/>
    <w:rsid w:val="00AD51DA"/>
    <w:rPr>
      <w:i/>
      <w:iCs/>
    </w:rPr>
  </w:style>
  <w:style w:type="paragraph" w:customStyle="1" w:styleId="P3">
    <w:name w:val="P3"/>
    <w:basedOn w:val="Normale"/>
    <w:rsid w:val="004B57F4"/>
    <w:pPr>
      <w:spacing w:after="240"/>
      <w:ind w:left="1701"/>
    </w:pPr>
    <w:rPr>
      <w:rFonts w:ascii="Arial" w:eastAsia="Times New Roman" w:hAnsi="Arial" w:cs="Times New Roman"/>
      <w:color w:val="auto"/>
      <w:sz w:val="24"/>
      <w:szCs w:val="20"/>
      <w:lang w:eastAsia="it-IT"/>
    </w:rPr>
  </w:style>
  <w:style w:type="paragraph" w:styleId="Corpotesto">
    <w:name w:val="Body Text"/>
    <w:basedOn w:val="Normale"/>
    <w:link w:val="CorpotestoCarattere"/>
    <w:uiPriority w:val="1"/>
    <w:unhideWhenUsed/>
    <w:qFormat/>
    <w:rsid w:val="008A5F33"/>
    <w:pPr>
      <w:widowControl w:val="0"/>
      <w:autoSpaceDE w:val="0"/>
      <w:autoSpaceDN w:val="0"/>
      <w:jc w:val="left"/>
    </w:pPr>
    <w:rPr>
      <w:rFonts w:eastAsia="Times New Roman" w:cs="Times New Roman"/>
      <w:color w:val="auto"/>
      <w:sz w:val="24"/>
      <w:szCs w:val="24"/>
      <w:lang w:val="en-US"/>
    </w:rPr>
  </w:style>
  <w:style w:type="character" w:customStyle="1" w:styleId="CorpotestoCarattere">
    <w:name w:val="Corpo testo Carattere"/>
    <w:basedOn w:val="Carpredefinitoparagrafo"/>
    <w:link w:val="Corpotesto"/>
    <w:uiPriority w:val="1"/>
    <w:rsid w:val="008A5F33"/>
    <w:rPr>
      <w:rFonts w:ascii="Times New Roman" w:eastAsia="Times New Roman" w:hAnsi="Times New Roman" w:cs="Times New Roman"/>
      <w:sz w:val="24"/>
      <w:szCs w:val="24"/>
      <w:lang w:val="en-US"/>
    </w:rPr>
  </w:style>
  <w:style w:type="table" w:customStyle="1" w:styleId="Grigliatabella3">
    <w:name w:val="Griglia tabella3"/>
    <w:basedOn w:val="Tabellanormale"/>
    <w:next w:val="Grigliatabella"/>
    <w:uiPriority w:val="59"/>
    <w:rsid w:val="00517919"/>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517919"/>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517919"/>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rsid w:val="00517919"/>
    <w:pPr>
      <w:spacing w:before="0" w:after="0"/>
      <w:jc w:val="left"/>
    </w:pPr>
    <w:rPr>
      <w:rFonts w:ascii="Times New Roman" w:eastAsia="¹Å" w:hAnsi="Times New Roman"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ientrocorpodeltesto2">
    <w:name w:val="Body Text Indent 2"/>
    <w:basedOn w:val="Normale"/>
    <w:link w:val="Rientrocorpodeltesto2Carattere"/>
    <w:uiPriority w:val="99"/>
    <w:semiHidden/>
    <w:unhideWhenUsed/>
    <w:rsid w:val="00D76545"/>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D76545"/>
    <w:rPr>
      <w:rFonts w:ascii="Times New Roman" w:hAnsi="Times New Roman"/>
      <w:color w:val="000000" w:themeColor="text1"/>
    </w:rPr>
  </w:style>
  <w:style w:type="paragraph" w:customStyle="1" w:styleId="Paragrafoelenco1">
    <w:name w:val="Paragrafo elenco1"/>
    <w:basedOn w:val="Normale"/>
    <w:rsid w:val="001F04CF"/>
    <w:pPr>
      <w:spacing w:after="160" w:line="259" w:lineRule="auto"/>
      <w:ind w:left="720"/>
      <w:contextualSpacing/>
      <w:jc w:val="left"/>
    </w:pPr>
    <w:rPr>
      <w:rFonts w:ascii="Calibri" w:eastAsia="Times New Roman" w:hAnsi="Calibri" w:cs="Times New Roman"/>
      <w:color w:val="auto"/>
    </w:rPr>
  </w:style>
  <w:style w:type="character" w:customStyle="1" w:styleId="provvnumart">
    <w:name w:val="provv_numart"/>
    <w:rsid w:val="009E259B"/>
    <w:rPr>
      <w:b/>
      <w:bCs/>
    </w:rPr>
  </w:style>
  <w:style w:type="character" w:customStyle="1" w:styleId="provvrubrica">
    <w:name w:val="provv_rubrica"/>
    <w:rsid w:val="009E259B"/>
    <w:rPr>
      <w:b/>
      <w:bCs/>
    </w:rPr>
  </w:style>
  <w:style w:type="paragraph" w:customStyle="1" w:styleId="Standard">
    <w:name w:val="Standard"/>
    <w:rsid w:val="00D009B2"/>
    <w:pPr>
      <w:widowControl w:val="0"/>
      <w:suppressAutoHyphens/>
      <w:autoSpaceDN w:val="0"/>
      <w:spacing w:before="0" w:after="0"/>
      <w:jc w:val="left"/>
      <w:textAlignment w:val="baseline"/>
    </w:pPr>
    <w:rPr>
      <w:rFonts w:ascii="Times New Roman" w:eastAsia="SimSun" w:hAnsi="Times New Roman" w:cs="Arial"/>
      <w:kern w:val="3"/>
      <w:sz w:val="24"/>
      <w:szCs w:val="24"/>
      <w:lang w:eastAsia="zh-CN" w:bidi="hi-IN"/>
    </w:rPr>
  </w:style>
  <w:style w:type="character" w:customStyle="1" w:styleId="Titolo6Carattere">
    <w:name w:val="Titolo 6 Carattere"/>
    <w:basedOn w:val="Carpredefinitoparagrafo"/>
    <w:link w:val="Titolo6"/>
    <w:uiPriority w:val="9"/>
    <w:semiHidden/>
    <w:rsid w:val="00D009B2"/>
    <w:rPr>
      <w:rFonts w:asciiTheme="majorHAnsi" w:eastAsiaTheme="majorEastAsia" w:hAnsiTheme="majorHAnsi" w:cstheme="majorBidi"/>
      <w:color w:val="1F4D78" w:themeColor="accent1" w:themeShade="7F"/>
    </w:rPr>
  </w:style>
  <w:style w:type="paragraph" w:customStyle="1" w:styleId="CM4">
    <w:name w:val="CM4"/>
    <w:basedOn w:val="Normale"/>
    <w:next w:val="Normale"/>
    <w:uiPriority w:val="99"/>
    <w:rsid w:val="0055677B"/>
    <w:pPr>
      <w:autoSpaceDE w:val="0"/>
      <w:autoSpaceDN w:val="0"/>
      <w:adjustRightInd w:val="0"/>
      <w:spacing w:line="406" w:lineRule="atLeast"/>
      <w:jc w:val="left"/>
    </w:pPr>
    <w:rPr>
      <w:rFonts w:eastAsia="Calibri" w:cs="Times New Roman"/>
      <w:color w:val="auto"/>
      <w:sz w:val="24"/>
      <w:szCs w:val="24"/>
    </w:rPr>
  </w:style>
  <w:style w:type="paragraph" w:customStyle="1" w:styleId="gmail-msolistparagraph">
    <w:name w:val="gmail-msolistparagraph"/>
    <w:basedOn w:val="Normale"/>
    <w:rsid w:val="00A76745"/>
    <w:pPr>
      <w:spacing w:before="100" w:beforeAutospacing="1" w:after="100" w:afterAutospacing="1"/>
      <w:jc w:val="left"/>
    </w:pPr>
    <w:rPr>
      <w:rFonts w:eastAsiaTheme="minorEastAsia" w:cs="Times New Roman"/>
      <w:color w:val="auto"/>
      <w:sz w:val="24"/>
      <w:szCs w:val="24"/>
      <w:lang w:eastAsia="it-IT"/>
    </w:rPr>
  </w:style>
  <w:style w:type="paragraph" w:styleId="Corpodeltesto2">
    <w:name w:val="Body Text 2"/>
    <w:basedOn w:val="Normale"/>
    <w:link w:val="Corpodeltesto2Carattere"/>
    <w:uiPriority w:val="99"/>
    <w:semiHidden/>
    <w:unhideWhenUsed/>
    <w:rsid w:val="00560253"/>
    <w:pPr>
      <w:spacing w:after="120" w:line="480" w:lineRule="auto"/>
    </w:pPr>
  </w:style>
  <w:style w:type="character" w:customStyle="1" w:styleId="Corpodeltesto2Carattere">
    <w:name w:val="Corpo del testo 2 Carattere"/>
    <w:basedOn w:val="Carpredefinitoparagrafo"/>
    <w:link w:val="Corpodeltesto2"/>
    <w:uiPriority w:val="99"/>
    <w:semiHidden/>
    <w:rsid w:val="00560253"/>
    <w:rPr>
      <w:rFonts w:ascii="Times New Roman" w:hAnsi="Times New Roman"/>
      <w:color w:val="000000" w:themeColor="text1"/>
    </w:rPr>
  </w:style>
  <w:style w:type="character" w:customStyle="1" w:styleId="linkneltesto">
    <w:name w:val="link_nel_testo"/>
    <w:basedOn w:val="Carpredefinitoparagrafo"/>
    <w:rsid w:val="00A87C4F"/>
    <w:rPr>
      <w:i/>
      <w:iCs/>
    </w:rPr>
  </w:style>
  <w:style w:type="character" w:customStyle="1" w:styleId="provvabrogato">
    <w:name w:val="provv_abrogato"/>
    <w:basedOn w:val="Carpredefinitoparagrafo"/>
    <w:rsid w:val="00A87C4F"/>
  </w:style>
  <w:style w:type="paragraph" w:customStyle="1" w:styleId="Style4">
    <w:name w:val="Style4"/>
    <w:basedOn w:val="Normale"/>
    <w:uiPriority w:val="99"/>
    <w:rsid w:val="0032312F"/>
    <w:pPr>
      <w:widowControl w:val="0"/>
      <w:autoSpaceDE w:val="0"/>
      <w:autoSpaceDN w:val="0"/>
      <w:adjustRightInd w:val="0"/>
      <w:jc w:val="left"/>
    </w:pPr>
    <w:rPr>
      <w:rFonts w:ascii="Titillium Web" w:eastAsiaTheme="minorEastAsia" w:hAnsi="Titillium Web"/>
      <w:color w:val="auto"/>
      <w:sz w:val="24"/>
      <w:szCs w:val="24"/>
      <w:lang w:eastAsia="it-IT"/>
    </w:rPr>
  </w:style>
  <w:style w:type="paragraph" w:customStyle="1" w:styleId="Style5">
    <w:name w:val="Style5"/>
    <w:basedOn w:val="Normale"/>
    <w:uiPriority w:val="99"/>
    <w:rsid w:val="0032312F"/>
    <w:pPr>
      <w:widowControl w:val="0"/>
      <w:autoSpaceDE w:val="0"/>
      <w:autoSpaceDN w:val="0"/>
      <w:adjustRightInd w:val="0"/>
      <w:jc w:val="left"/>
    </w:pPr>
    <w:rPr>
      <w:rFonts w:ascii="Titillium Web" w:eastAsiaTheme="minorEastAsia" w:hAnsi="Titillium Web"/>
      <w:color w:val="auto"/>
      <w:sz w:val="24"/>
      <w:szCs w:val="24"/>
      <w:lang w:eastAsia="it-IT"/>
    </w:rPr>
  </w:style>
  <w:style w:type="paragraph" w:customStyle="1" w:styleId="Style6">
    <w:name w:val="Style6"/>
    <w:basedOn w:val="Normale"/>
    <w:uiPriority w:val="99"/>
    <w:rsid w:val="0032312F"/>
    <w:pPr>
      <w:widowControl w:val="0"/>
      <w:autoSpaceDE w:val="0"/>
      <w:autoSpaceDN w:val="0"/>
      <w:adjustRightInd w:val="0"/>
      <w:jc w:val="left"/>
    </w:pPr>
    <w:rPr>
      <w:rFonts w:ascii="Titillium Web" w:eastAsiaTheme="minorEastAsia" w:hAnsi="Titillium Web"/>
      <w:color w:val="auto"/>
      <w:sz w:val="24"/>
      <w:szCs w:val="24"/>
      <w:lang w:eastAsia="it-IT"/>
    </w:rPr>
  </w:style>
  <w:style w:type="paragraph" w:customStyle="1" w:styleId="Style7">
    <w:name w:val="Style7"/>
    <w:basedOn w:val="Normale"/>
    <w:uiPriority w:val="99"/>
    <w:rsid w:val="0032312F"/>
    <w:pPr>
      <w:widowControl w:val="0"/>
      <w:autoSpaceDE w:val="0"/>
      <w:autoSpaceDN w:val="0"/>
      <w:adjustRightInd w:val="0"/>
      <w:jc w:val="left"/>
    </w:pPr>
    <w:rPr>
      <w:rFonts w:ascii="Titillium Web" w:eastAsiaTheme="minorEastAsia" w:hAnsi="Titillium Web"/>
      <w:color w:val="auto"/>
      <w:sz w:val="24"/>
      <w:szCs w:val="24"/>
      <w:lang w:eastAsia="it-IT"/>
    </w:rPr>
  </w:style>
  <w:style w:type="paragraph" w:customStyle="1" w:styleId="Style9">
    <w:name w:val="Style9"/>
    <w:basedOn w:val="Normale"/>
    <w:uiPriority w:val="99"/>
    <w:rsid w:val="0032312F"/>
    <w:pPr>
      <w:widowControl w:val="0"/>
      <w:autoSpaceDE w:val="0"/>
      <w:autoSpaceDN w:val="0"/>
      <w:adjustRightInd w:val="0"/>
      <w:jc w:val="left"/>
    </w:pPr>
    <w:rPr>
      <w:rFonts w:ascii="Titillium Web" w:eastAsiaTheme="minorEastAsia" w:hAnsi="Titillium Web"/>
      <w:color w:val="auto"/>
      <w:sz w:val="24"/>
      <w:szCs w:val="24"/>
      <w:lang w:eastAsia="it-IT"/>
    </w:rPr>
  </w:style>
  <w:style w:type="paragraph" w:customStyle="1" w:styleId="Style11">
    <w:name w:val="Style11"/>
    <w:basedOn w:val="Normale"/>
    <w:uiPriority w:val="99"/>
    <w:rsid w:val="0032312F"/>
    <w:pPr>
      <w:widowControl w:val="0"/>
      <w:autoSpaceDE w:val="0"/>
      <w:autoSpaceDN w:val="0"/>
      <w:adjustRightInd w:val="0"/>
      <w:jc w:val="left"/>
    </w:pPr>
    <w:rPr>
      <w:rFonts w:ascii="Titillium Web" w:eastAsiaTheme="minorEastAsia" w:hAnsi="Titillium Web"/>
      <w:color w:val="auto"/>
      <w:sz w:val="24"/>
      <w:szCs w:val="24"/>
      <w:lang w:eastAsia="it-IT"/>
    </w:rPr>
  </w:style>
  <w:style w:type="character" w:customStyle="1" w:styleId="FontStyle15">
    <w:name w:val="Font Style15"/>
    <w:basedOn w:val="Carpredefinitoparagrafo"/>
    <w:uiPriority w:val="99"/>
    <w:rsid w:val="0032312F"/>
    <w:rPr>
      <w:rFonts w:ascii="Sylfaen" w:hAnsi="Sylfaen" w:cs="Sylfaen"/>
      <w:b/>
      <w:bCs/>
      <w:color w:val="000000"/>
      <w:sz w:val="14"/>
      <w:szCs w:val="14"/>
    </w:rPr>
  </w:style>
  <w:style w:type="character" w:customStyle="1" w:styleId="FontStyle16">
    <w:name w:val="Font Style16"/>
    <w:basedOn w:val="Carpredefinitoparagrafo"/>
    <w:uiPriority w:val="99"/>
    <w:rsid w:val="0032312F"/>
    <w:rPr>
      <w:rFonts w:ascii="Titillium Web" w:hAnsi="Titillium Web" w:cs="Titillium Web"/>
      <w:b/>
      <w:bCs/>
      <w:color w:val="000000"/>
      <w:sz w:val="14"/>
      <w:szCs w:val="14"/>
    </w:rPr>
  </w:style>
  <w:style w:type="character" w:customStyle="1" w:styleId="FontStyle17">
    <w:name w:val="Font Style17"/>
    <w:basedOn w:val="Carpredefinitoparagrafo"/>
    <w:uiPriority w:val="99"/>
    <w:rsid w:val="0032312F"/>
    <w:rPr>
      <w:rFonts w:ascii="Sylfaen" w:hAnsi="Sylfaen" w:cs="Sylfaen"/>
      <w:b/>
      <w:bCs/>
      <w:color w:val="000000"/>
      <w:sz w:val="12"/>
      <w:szCs w:val="12"/>
    </w:rPr>
  </w:style>
  <w:style w:type="character" w:customStyle="1" w:styleId="FontStyle18">
    <w:name w:val="Font Style18"/>
    <w:basedOn w:val="Carpredefinitoparagrafo"/>
    <w:uiPriority w:val="99"/>
    <w:rsid w:val="0032312F"/>
    <w:rPr>
      <w:rFonts w:ascii="Sylfaen" w:hAnsi="Sylfaen" w:cs="Sylfaen"/>
      <w:color w:val="000000"/>
      <w:sz w:val="14"/>
      <w:szCs w:val="14"/>
    </w:rPr>
  </w:style>
  <w:style w:type="character" w:customStyle="1" w:styleId="FontStyle19">
    <w:name w:val="Font Style19"/>
    <w:basedOn w:val="Carpredefinitoparagrafo"/>
    <w:uiPriority w:val="99"/>
    <w:rsid w:val="0032312F"/>
    <w:rPr>
      <w:rFonts w:ascii="Book Antiqua" w:hAnsi="Book Antiqua" w:cs="Book Antiqua"/>
      <w:color w:val="000000"/>
      <w:sz w:val="26"/>
      <w:szCs w:val="26"/>
    </w:rPr>
  </w:style>
  <w:style w:type="character" w:customStyle="1" w:styleId="FontStyle20">
    <w:name w:val="Font Style20"/>
    <w:basedOn w:val="Carpredefinitoparagrafo"/>
    <w:uiPriority w:val="99"/>
    <w:rsid w:val="0032312F"/>
    <w:rPr>
      <w:rFonts w:ascii="Sylfaen" w:hAnsi="Sylfaen" w:cs="Sylfaen"/>
      <w:color w:val="000000"/>
      <w:sz w:val="14"/>
      <w:szCs w:val="14"/>
    </w:rPr>
  </w:style>
  <w:style w:type="paragraph" w:customStyle="1" w:styleId="noncancellare">
    <w:name w:val="noncancellare"/>
    <w:basedOn w:val="Normale"/>
    <w:rsid w:val="00744017"/>
    <w:pPr>
      <w:spacing w:after="120"/>
      <w:ind w:left="-1418"/>
    </w:pPr>
    <w:rPr>
      <w:rFonts w:eastAsia="Times New Roman" w:cs="Times New Roman"/>
      <w:color w:val="FF0000"/>
      <w:sz w:val="24"/>
      <w:szCs w:val="20"/>
      <w:lang w:eastAsia="it-IT" w:bidi="he-IL"/>
    </w:rPr>
  </w:style>
  <w:style w:type="paragraph" w:customStyle="1" w:styleId="testocomm">
    <w:name w:val="testocomm"/>
    <w:basedOn w:val="Normale"/>
    <w:rsid w:val="00A57A56"/>
    <w:pPr>
      <w:spacing w:before="100" w:beforeAutospacing="1" w:after="100" w:afterAutospacing="1"/>
      <w:jc w:val="left"/>
    </w:pPr>
    <w:rPr>
      <w:rFonts w:eastAsia="Times New Roman" w:cs="Times New Roman"/>
      <w:color w:val="auto"/>
      <w:sz w:val="24"/>
      <w:szCs w:val="24"/>
      <w:lang w:val="en-US"/>
    </w:rPr>
  </w:style>
  <w:style w:type="paragraph" w:customStyle="1" w:styleId="default0">
    <w:name w:val="default"/>
    <w:basedOn w:val="Normale"/>
    <w:rsid w:val="00B87BF9"/>
    <w:pPr>
      <w:autoSpaceDE w:val="0"/>
      <w:autoSpaceDN w:val="0"/>
      <w:jc w:val="left"/>
    </w:pPr>
    <w:rPr>
      <w:rFonts w:ascii="EUAlbertina" w:hAnsi="EUAlbertina" w:cs="Times New Roman"/>
      <w:color w:val="000000"/>
      <w:sz w:val="24"/>
      <w:szCs w:val="24"/>
      <w:lang w:eastAsia="it-IT"/>
    </w:rPr>
  </w:style>
  <w:style w:type="paragraph" w:customStyle="1" w:styleId="Carpredefinitoparagrafo1">
    <w:name w:val="Car. predefinito paragrafo1"/>
    <w:semiHidden/>
    <w:rsid w:val="00BC45F1"/>
    <w:pPr>
      <w:spacing w:before="0" w:after="0"/>
      <w:jc w:val="left"/>
    </w:pPr>
    <w:rPr>
      <w:rFonts w:ascii="Times New Roman" w:eastAsia="Times New Roman" w:hAnsi="Times New Roman" w:cs="Times New Roman"/>
      <w:sz w:val="20"/>
      <w:szCs w:val="20"/>
      <w:lang w:val="it-CH" w:eastAsia="it-CH"/>
    </w:rPr>
  </w:style>
  <w:style w:type="paragraph" w:styleId="Puntoelenco">
    <w:name w:val="List Bullet"/>
    <w:basedOn w:val="Normale"/>
    <w:uiPriority w:val="99"/>
    <w:unhideWhenUsed/>
    <w:rsid w:val="00D51EB6"/>
    <w:pPr>
      <w:numPr>
        <w:numId w:val="1"/>
      </w:numPr>
      <w:contextualSpacing/>
    </w:pPr>
  </w:style>
  <w:style w:type="paragraph" w:customStyle="1" w:styleId="rgscorpodeltesto">
    <w:name w:val="rgs_corpodeltesto"/>
    <w:basedOn w:val="Normale"/>
    <w:rsid w:val="00C202D0"/>
    <w:pPr>
      <w:spacing w:after="120" w:line="360" w:lineRule="auto"/>
      <w:ind w:firstLine="799"/>
    </w:pPr>
    <w:rPr>
      <w:rFonts w:eastAsia="Times New Roman" w:cs="Times New Roman"/>
      <w:color w:val="auto"/>
      <w:sz w:val="24"/>
      <w:szCs w:val="20"/>
      <w:lang w:eastAsia="it-IT"/>
    </w:rPr>
  </w:style>
  <w:style w:type="paragraph" w:customStyle="1" w:styleId="a">
    <w:name w:val="a"/>
    <w:basedOn w:val="Normale"/>
    <w:rsid w:val="003C7564"/>
    <w:rPr>
      <w:rFonts w:eastAsia="Calibri" w:cs="Times New Roman"/>
      <w:color w:val="auto"/>
      <w:sz w:val="24"/>
      <w:szCs w:val="24"/>
      <w:lang w:eastAsia="it-IT"/>
    </w:rPr>
  </w:style>
  <w:style w:type="paragraph" w:customStyle="1" w:styleId="rubr">
    <w:name w:val="rubr"/>
    <w:basedOn w:val="Normale"/>
    <w:rsid w:val="00D76C2A"/>
    <w:pPr>
      <w:spacing w:after="100" w:afterAutospacing="1" w:line="264" w:lineRule="atLeast"/>
      <w:jc w:val="left"/>
    </w:pPr>
    <w:rPr>
      <w:rFonts w:eastAsia="Times New Roman" w:cs="Times New Roman"/>
      <w:color w:val="auto"/>
      <w:sz w:val="24"/>
      <w:szCs w:val="24"/>
      <w:lang w:eastAsia="it-IT"/>
    </w:rPr>
  </w:style>
  <w:style w:type="paragraph" w:customStyle="1" w:styleId="int">
    <w:name w:val="int"/>
    <w:basedOn w:val="Normale"/>
    <w:rsid w:val="00D76C2A"/>
    <w:pPr>
      <w:spacing w:after="100" w:afterAutospacing="1" w:line="264" w:lineRule="atLeast"/>
      <w:jc w:val="left"/>
    </w:pPr>
    <w:rPr>
      <w:rFonts w:eastAsia="Times New Roman" w:cs="Times New Roman"/>
      <w:color w:val="auto"/>
      <w:sz w:val="24"/>
      <w:szCs w:val="24"/>
      <w:lang w:eastAsia="it-IT"/>
    </w:rPr>
  </w:style>
  <w:style w:type="paragraph" w:customStyle="1" w:styleId="a6">
    <w:name w:val="a6"/>
    <w:basedOn w:val="Normale"/>
    <w:rsid w:val="00D76C2A"/>
    <w:pPr>
      <w:spacing w:after="100" w:afterAutospacing="1" w:line="264" w:lineRule="atLeast"/>
      <w:jc w:val="left"/>
    </w:pPr>
    <w:rPr>
      <w:rFonts w:eastAsia="Times New Roman" w:cs="Times New Roman"/>
      <w:color w:val="auto"/>
      <w:sz w:val="24"/>
      <w:szCs w:val="24"/>
      <w:lang w:eastAsia="it-IT"/>
    </w:rPr>
  </w:style>
  <w:style w:type="paragraph" w:customStyle="1" w:styleId="capos">
    <w:name w:val="capo_s"/>
    <w:basedOn w:val="Normale"/>
    <w:rsid w:val="00D76C2A"/>
    <w:pPr>
      <w:spacing w:after="100" w:afterAutospacing="1" w:line="264" w:lineRule="atLeast"/>
      <w:jc w:val="left"/>
    </w:pPr>
    <w:rPr>
      <w:rFonts w:eastAsia="Times New Roman" w:cs="Times New Roman"/>
      <w:color w:val="auto"/>
      <w:sz w:val="24"/>
      <w:szCs w:val="24"/>
      <w:lang w:eastAsia="it-IT"/>
    </w:rPr>
  </w:style>
  <w:style w:type="paragraph" w:customStyle="1" w:styleId="art">
    <w:name w:val="art"/>
    <w:basedOn w:val="Normale"/>
    <w:rsid w:val="00D76C2A"/>
    <w:pPr>
      <w:spacing w:after="100" w:afterAutospacing="1" w:line="264" w:lineRule="atLeast"/>
      <w:jc w:val="left"/>
    </w:pPr>
    <w:rPr>
      <w:rFonts w:eastAsia="Times New Roman" w:cs="Times New Roman"/>
      <w:color w:val="auto"/>
      <w:sz w:val="24"/>
      <w:szCs w:val="24"/>
      <w:lang w:eastAsia="it-IT"/>
    </w:rPr>
  </w:style>
  <w:style w:type="paragraph" w:styleId="PreformattatoHTML">
    <w:name w:val="HTML Preformatted"/>
    <w:basedOn w:val="Normale"/>
    <w:link w:val="PreformattatoHTMLCarattere"/>
    <w:uiPriority w:val="99"/>
    <w:semiHidden/>
    <w:unhideWhenUsed/>
    <w:rsid w:val="007E4FDC"/>
    <w:pPr>
      <w:jc w:val="left"/>
    </w:pPr>
    <w:rPr>
      <w:rFonts w:ascii="Consolas" w:hAnsi="Consolas" w:cs="Consolas"/>
      <w:color w:val="auto"/>
      <w:sz w:val="20"/>
      <w:szCs w:val="20"/>
    </w:rPr>
  </w:style>
  <w:style w:type="character" w:customStyle="1" w:styleId="PreformattatoHTMLCarattere">
    <w:name w:val="Preformattato HTML Carattere"/>
    <w:basedOn w:val="Carpredefinitoparagrafo"/>
    <w:link w:val="PreformattatoHTML"/>
    <w:uiPriority w:val="99"/>
    <w:semiHidden/>
    <w:rsid w:val="007E4FDC"/>
    <w:rPr>
      <w:rFonts w:ascii="Consolas" w:hAnsi="Consolas" w:cs="Consolas"/>
      <w:sz w:val="20"/>
      <w:szCs w:val="20"/>
    </w:rPr>
  </w:style>
  <w:style w:type="table" w:customStyle="1" w:styleId="TableNormal">
    <w:name w:val="Table Normal"/>
    <w:rsid w:val="007E4FDC"/>
    <w:pPr>
      <w:pBdr>
        <w:top w:val="nil"/>
        <w:left w:val="nil"/>
        <w:bottom w:val="nil"/>
        <w:right w:val="nil"/>
        <w:between w:val="nil"/>
        <w:bar w:val="nil"/>
      </w:pBdr>
      <w:spacing w:before="0" w:after="0"/>
      <w:jc w:val="left"/>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numbering" w:customStyle="1" w:styleId="Stileimportato1">
    <w:name w:val="Stile importato 1"/>
    <w:rsid w:val="007E4FDC"/>
    <w:pPr>
      <w:numPr>
        <w:numId w:val="13"/>
      </w:numPr>
    </w:pPr>
  </w:style>
  <w:style w:type="numbering" w:customStyle="1" w:styleId="Stileimportato2">
    <w:name w:val="Stile importato 2"/>
    <w:rsid w:val="007E4FDC"/>
    <w:pPr>
      <w:numPr>
        <w:numId w:val="14"/>
      </w:numPr>
    </w:pPr>
  </w:style>
  <w:style w:type="table" w:customStyle="1" w:styleId="TableNormal1">
    <w:name w:val="Table Normal1"/>
    <w:rsid w:val="007E4FDC"/>
    <w:pPr>
      <w:pBdr>
        <w:top w:val="nil"/>
        <w:left w:val="nil"/>
        <w:bottom w:val="nil"/>
        <w:right w:val="nil"/>
        <w:between w:val="nil"/>
        <w:bar w:val="nil"/>
      </w:pBdr>
      <w:spacing w:before="0" w:after="0"/>
      <w:jc w:val="left"/>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numbering" w:customStyle="1" w:styleId="Stileimportato11">
    <w:name w:val="Stile importato 11"/>
    <w:rsid w:val="007E4FDC"/>
  </w:style>
  <w:style w:type="numbering" w:customStyle="1" w:styleId="Stileimportato21">
    <w:name w:val="Stile importato 21"/>
    <w:rsid w:val="007E4FDC"/>
  </w:style>
  <w:style w:type="character" w:customStyle="1" w:styleId="NessunaspaziaturaCarattere">
    <w:name w:val="Nessuna spaziatura Carattere"/>
    <w:aliases w:val="normale Carattere"/>
    <w:basedOn w:val="Carpredefinitoparagrafo"/>
    <w:link w:val="Nessunaspaziatura"/>
    <w:uiPriority w:val="1"/>
    <w:rsid w:val="00336981"/>
    <w:rPr>
      <w:rFonts w:ascii="Calibri" w:eastAsia="Calibri" w:hAnsi="Calibri" w:cs="Times New Roman"/>
    </w:rPr>
  </w:style>
  <w:style w:type="paragraph" w:customStyle="1" w:styleId="xmsonormal">
    <w:name w:val="x_msonormal"/>
    <w:basedOn w:val="Normale"/>
    <w:rsid w:val="00336981"/>
    <w:pPr>
      <w:spacing w:before="100" w:beforeAutospacing="1" w:after="100" w:afterAutospacing="1"/>
      <w:jc w:val="left"/>
    </w:pPr>
    <w:rPr>
      <w:rFonts w:eastAsia="Times New Roman" w:cs="Times New Roman"/>
      <w:color w:val="auto"/>
      <w:sz w:val="24"/>
      <w:szCs w:val="24"/>
      <w:lang w:eastAsia="it-IT"/>
    </w:rPr>
  </w:style>
  <w:style w:type="character" w:customStyle="1" w:styleId="Titolo5Carattere">
    <w:name w:val="Titolo 5 Carattere"/>
    <w:basedOn w:val="Carpredefinitoparagrafo"/>
    <w:link w:val="Titolo5"/>
    <w:uiPriority w:val="9"/>
    <w:semiHidden/>
    <w:rsid w:val="00447550"/>
    <w:rPr>
      <w:rFonts w:asciiTheme="majorHAnsi" w:eastAsiaTheme="majorEastAsia" w:hAnsiTheme="majorHAnsi" w:cstheme="majorBidi"/>
      <w:color w:val="2E74B5" w:themeColor="accent1" w:themeShade="BF"/>
    </w:rPr>
  </w:style>
  <w:style w:type="paragraph" w:customStyle="1" w:styleId="Style3">
    <w:name w:val="Style3"/>
    <w:basedOn w:val="Normale"/>
    <w:uiPriority w:val="99"/>
    <w:rsid w:val="00F74826"/>
    <w:pPr>
      <w:widowControl w:val="0"/>
      <w:autoSpaceDE w:val="0"/>
      <w:autoSpaceDN w:val="0"/>
      <w:adjustRightInd w:val="0"/>
      <w:jc w:val="left"/>
    </w:pPr>
    <w:rPr>
      <w:rFonts w:ascii="Calibri" w:eastAsiaTheme="minorEastAsia" w:hAnsi="Calibri" w:cs="Calibri"/>
      <w:color w:val="auto"/>
      <w:sz w:val="24"/>
      <w:szCs w:val="24"/>
      <w:lang w:eastAsia="it-IT"/>
    </w:rPr>
  </w:style>
  <w:style w:type="character" w:customStyle="1" w:styleId="FontStyle38">
    <w:name w:val="Font Style38"/>
    <w:basedOn w:val="Carpredefinitoparagrafo"/>
    <w:uiPriority w:val="99"/>
    <w:rsid w:val="00F74826"/>
    <w:rPr>
      <w:rFonts w:ascii="Calibri" w:hAnsi="Calibri" w:cs="Calibri"/>
      <w:b/>
      <w:bCs/>
      <w:i/>
      <w:iCs/>
      <w:color w:val="000000"/>
      <w:sz w:val="22"/>
      <w:szCs w:val="22"/>
    </w:rPr>
  </w:style>
  <w:style w:type="paragraph" w:customStyle="1" w:styleId="Style2">
    <w:name w:val="Style2"/>
    <w:basedOn w:val="Normale"/>
    <w:uiPriority w:val="99"/>
    <w:rsid w:val="00CE6296"/>
    <w:pPr>
      <w:widowControl w:val="0"/>
      <w:autoSpaceDE w:val="0"/>
      <w:autoSpaceDN w:val="0"/>
      <w:adjustRightInd w:val="0"/>
      <w:jc w:val="left"/>
    </w:pPr>
    <w:rPr>
      <w:rFonts w:ascii="Calibri" w:eastAsiaTheme="minorEastAsia" w:hAnsi="Calibri" w:cs="Calibri"/>
      <w:color w:val="auto"/>
      <w:sz w:val="24"/>
      <w:szCs w:val="24"/>
      <w:lang w:eastAsia="it-IT"/>
    </w:rPr>
  </w:style>
  <w:style w:type="character" w:customStyle="1" w:styleId="FontStyle39">
    <w:name w:val="Font Style39"/>
    <w:basedOn w:val="Carpredefinitoparagrafo"/>
    <w:uiPriority w:val="99"/>
    <w:rsid w:val="00CE6296"/>
    <w:rPr>
      <w:rFonts w:ascii="Calibri" w:hAnsi="Calibri" w:cs="Calibri"/>
      <w:color w:val="000000"/>
      <w:sz w:val="24"/>
      <w:szCs w:val="24"/>
    </w:rPr>
  </w:style>
  <w:style w:type="character" w:customStyle="1" w:styleId="FontStyle40">
    <w:name w:val="Font Style40"/>
    <w:basedOn w:val="Carpredefinitoparagrafo"/>
    <w:uiPriority w:val="99"/>
    <w:rsid w:val="00CE6296"/>
    <w:rPr>
      <w:rFonts w:ascii="Calibri" w:hAnsi="Calibri" w:cs="Calibri"/>
      <w:b/>
      <w:bCs/>
      <w:color w:val="000000"/>
      <w:sz w:val="24"/>
      <w:szCs w:val="24"/>
    </w:rPr>
  </w:style>
  <w:style w:type="paragraph" w:customStyle="1" w:styleId="provvestremo">
    <w:name w:val="provv_estremo"/>
    <w:basedOn w:val="Normale"/>
    <w:rsid w:val="00AB3E7D"/>
    <w:pPr>
      <w:spacing w:before="100" w:beforeAutospacing="1" w:after="20"/>
    </w:pPr>
    <w:rPr>
      <w:rFonts w:eastAsia="Times New Roman" w:cs="Times New Roman"/>
      <w:b/>
      <w:bCs/>
      <w:color w:val="auto"/>
      <w:sz w:val="24"/>
      <w:szCs w:val="24"/>
      <w:lang w:eastAsia="it-IT"/>
    </w:rPr>
  </w:style>
  <w:style w:type="character" w:customStyle="1" w:styleId="anchorantimarker">
    <w:name w:val="anchor_anti_marker"/>
    <w:basedOn w:val="Carpredefinitoparagrafo"/>
    <w:rsid w:val="00AB3E7D"/>
    <w:rPr>
      <w:color w:val="000000"/>
    </w:rPr>
  </w:style>
  <w:style w:type="character" w:customStyle="1" w:styleId="FontStyle62">
    <w:name w:val="Font Style62"/>
    <w:basedOn w:val="Carpredefinitoparagrafo"/>
    <w:uiPriority w:val="99"/>
    <w:rsid w:val="007D5A96"/>
    <w:rPr>
      <w:rFonts w:ascii="Arial" w:hAnsi="Arial" w:cs="Arial"/>
      <w:i/>
      <w:iCs/>
      <w:color w:val="000000"/>
      <w:spacing w:val="-10"/>
      <w:sz w:val="18"/>
      <w:szCs w:val="18"/>
    </w:rPr>
  </w:style>
  <w:style w:type="paragraph" w:styleId="Revisione">
    <w:name w:val="Revision"/>
    <w:hidden/>
    <w:uiPriority w:val="99"/>
    <w:semiHidden/>
    <w:rsid w:val="00DD0A15"/>
    <w:pPr>
      <w:spacing w:before="0" w:after="0"/>
      <w:jc w:val="left"/>
    </w:pPr>
    <w:rPr>
      <w:rFonts w:ascii="Times New Roman" w:hAnsi="Times New Roman"/>
      <w:color w:val="000000" w:themeColor="text1"/>
    </w:rPr>
  </w:style>
  <w:style w:type="character" w:customStyle="1" w:styleId="s2">
    <w:name w:val="s2"/>
    <w:basedOn w:val="Carpredefinitoparagrafo"/>
    <w:rsid w:val="00783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8973">
      <w:bodyDiv w:val="1"/>
      <w:marLeft w:val="0"/>
      <w:marRight w:val="0"/>
      <w:marTop w:val="0"/>
      <w:marBottom w:val="0"/>
      <w:divBdr>
        <w:top w:val="none" w:sz="0" w:space="0" w:color="auto"/>
        <w:left w:val="none" w:sz="0" w:space="0" w:color="auto"/>
        <w:bottom w:val="none" w:sz="0" w:space="0" w:color="auto"/>
        <w:right w:val="none" w:sz="0" w:space="0" w:color="auto"/>
      </w:divBdr>
    </w:div>
    <w:div w:id="16004221">
      <w:bodyDiv w:val="1"/>
      <w:marLeft w:val="0"/>
      <w:marRight w:val="0"/>
      <w:marTop w:val="0"/>
      <w:marBottom w:val="0"/>
      <w:divBdr>
        <w:top w:val="none" w:sz="0" w:space="0" w:color="auto"/>
        <w:left w:val="none" w:sz="0" w:space="0" w:color="auto"/>
        <w:bottom w:val="none" w:sz="0" w:space="0" w:color="auto"/>
        <w:right w:val="none" w:sz="0" w:space="0" w:color="auto"/>
      </w:divBdr>
    </w:div>
    <w:div w:id="48111998">
      <w:bodyDiv w:val="1"/>
      <w:marLeft w:val="0"/>
      <w:marRight w:val="0"/>
      <w:marTop w:val="0"/>
      <w:marBottom w:val="0"/>
      <w:divBdr>
        <w:top w:val="none" w:sz="0" w:space="0" w:color="auto"/>
        <w:left w:val="none" w:sz="0" w:space="0" w:color="auto"/>
        <w:bottom w:val="none" w:sz="0" w:space="0" w:color="auto"/>
        <w:right w:val="none" w:sz="0" w:space="0" w:color="auto"/>
      </w:divBdr>
    </w:div>
    <w:div w:id="69618174">
      <w:bodyDiv w:val="1"/>
      <w:marLeft w:val="0"/>
      <w:marRight w:val="0"/>
      <w:marTop w:val="0"/>
      <w:marBottom w:val="0"/>
      <w:divBdr>
        <w:top w:val="none" w:sz="0" w:space="0" w:color="auto"/>
        <w:left w:val="none" w:sz="0" w:space="0" w:color="auto"/>
        <w:bottom w:val="none" w:sz="0" w:space="0" w:color="auto"/>
        <w:right w:val="none" w:sz="0" w:space="0" w:color="auto"/>
      </w:divBdr>
    </w:div>
    <w:div w:id="84814975">
      <w:bodyDiv w:val="1"/>
      <w:marLeft w:val="0"/>
      <w:marRight w:val="0"/>
      <w:marTop w:val="0"/>
      <w:marBottom w:val="0"/>
      <w:divBdr>
        <w:top w:val="none" w:sz="0" w:space="0" w:color="auto"/>
        <w:left w:val="none" w:sz="0" w:space="0" w:color="auto"/>
        <w:bottom w:val="none" w:sz="0" w:space="0" w:color="auto"/>
        <w:right w:val="none" w:sz="0" w:space="0" w:color="auto"/>
      </w:divBdr>
    </w:div>
    <w:div w:id="86511916">
      <w:bodyDiv w:val="1"/>
      <w:marLeft w:val="0"/>
      <w:marRight w:val="0"/>
      <w:marTop w:val="0"/>
      <w:marBottom w:val="0"/>
      <w:divBdr>
        <w:top w:val="none" w:sz="0" w:space="0" w:color="auto"/>
        <w:left w:val="none" w:sz="0" w:space="0" w:color="auto"/>
        <w:bottom w:val="none" w:sz="0" w:space="0" w:color="auto"/>
        <w:right w:val="none" w:sz="0" w:space="0" w:color="auto"/>
      </w:divBdr>
    </w:div>
    <w:div w:id="89854405">
      <w:bodyDiv w:val="1"/>
      <w:marLeft w:val="0"/>
      <w:marRight w:val="0"/>
      <w:marTop w:val="0"/>
      <w:marBottom w:val="0"/>
      <w:divBdr>
        <w:top w:val="none" w:sz="0" w:space="0" w:color="auto"/>
        <w:left w:val="none" w:sz="0" w:space="0" w:color="auto"/>
        <w:bottom w:val="none" w:sz="0" w:space="0" w:color="auto"/>
        <w:right w:val="none" w:sz="0" w:space="0" w:color="auto"/>
      </w:divBdr>
    </w:div>
    <w:div w:id="95635349">
      <w:bodyDiv w:val="1"/>
      <w:marLeft w:val="0"/>
      <w:marRight w:val="0"/>
      <w:marTop w:val="0"/>
      <w:marBottom w:val="0"/>
      <w:divBdr>
        <w:top w:val="none" w:sz="0" w:space="0" w:color="auto"/>
        <w:left w:val="none" w:sz="0" w:space="0" w:color="auto"/>
        <w:bottom w:val="none" w:sz="0" w:space="0" w:color="auto"/>
        <w:right w:val="none" w:sz="0" w:space="0" w:color="auto"/>
      </w:divBdr>
    </w:div>
    <w:div w:id="96558558">
      <w:bodyDiv w:val="1"/>
      <w:marLeft w:val="0"/>
      <w:marRight w:val="0"/>
      <w:marTop w:val="0"/>
      <w:marBottom w:val="0"/>
      <w:divBdr>
        <w:top w:val="none" w:sz="0" w:space="0" w:color="auto"/>
        <w:left w:val="none" w:sz="0" w:space="0" w:color="auto"/>
        <w:bottom w:val="none" w:sz="0" w:space="0" w:color="auto"/>
        <w:right w:val="none" w:sz="0" w:space="0" w:color="auto"/>
      </w:divBdr>
    </w:div>
    <w:div w:id="143744868">
      <w:bodyDiv w:val="1"/>
      <w:marLeft w:val="0"/>
      <w:marRight w:val="0"/>
      <w:marTop w:val="0"/>
      <w:marBottom w:val="0"/>
      <w:divBdr>
        <w:top w:val="none" w:sz="0" w:space="0" w:color="auto"/>
        <w:left w:val="none" w:sz="0" w:space="0" w:color="auto"/>
        <w:bottom w:val="none" w:sz="0" w:space="0" w:color="auto"/>
        <w:right w:val="none" w:sz="0" w:space="0" w:color="auto"/>
      </w:divBdr>
    </w:div>
    <w:div w:id="184637860">
      <w:bodyDiv w:val="1"/>
      <w:marLeft w:val="0"/>
      <w:marRight w:val="0"/>
      <w:marTop w:val="0"/>
      <w:marBottom w:val="0"/>
      <w:divBdr>
        <w:top w:val="none" w:sz="0" w:space="0" w:color="auto"/>
        <w:left w:val="none" w:sz="0" w:space="0" w:color="auto"/>
        <w:bottom w:val="none" w:sz="0" w:space="0" w:color="auto"/>
        <w:right w:val="none" w:sz="0" w:space="0" w:color="auto"/>
      </w:divBdr>
    </w:div>
    <w:div w:id="187722507">
      <w:bodyDiv w:val="1"/>
      <w:marLeft w:val="0"/>
      <w:marRight w:val="0"/>
      <w:marTop w:val="0"/>
      <w:marBottom w:val="0"/>
      <w:divBdr>
        <w:top w:val="none" w:sz="0" w:space="0" w:color="auto"/>
        <w:left w:val="none" w:sz="0" w:space="0" w:color="auto"/>
        <w:bottom w:val="none" w:sz="0" w:space="0" w:color="auto"/>
        <w:right w:val="none" w:sz="0" w:space="0" w:color="auto"/>
      </w:divBdr>
    </w:div>
    <w:div w:id="279609007">
      <w:bodyDiv w:val="1"/>
      <w:marLeft w:val="0"/>
      <w:marRight w:val="0"/>
      <w:marTop w:val="0"/>
      <w:marBottom w:val="0"/>
      <w:divBdr>
        <w:top w:val="none" w:sz="0" w:space="0" w:color="auto"/>
        <w:left w:val="none" w:sz="0" w:space="0" w:color="auto"/>
        <w:bottom w:val="none" w:sz="0" w:space="0" w:color="auto"/>
        <w:right w:val="none" w:sz="0" w:space="0" w:color="auto"/>
      </w:divBdr>
    </w:div>
    <w:div w:id="303462128">
      <w:bodyDiv w:val="1"/>
      <w:marLeft w:val="0"/>
      <w:marRight w:val="0"/>
      <w:marTop w:val="0"/>
      <w:marBottom w:val="0"/>
      <w:divBdr>
        <w:top w:val="none" w:sz="0" w:space="0" w:color="auto"/>
        <w:left w:val="none" w:sz="0" w:space="0" w:color="auto"/>
        <w:bottom w:val="none" w:sz="0" w:space="0" w:color="auto"/>
        <w:right w:val="none" w:sz="0" w:space="0" w:color="auto"/>
      </w:divBdr>
    </w:div>
    <w:div w:id="310645804">
      <w:bodyDiv w:val="1"/>
      <w:marLeft w:val="0"/>
      <w:marRight w:val="0"/>
      <w:marTop w:val="0"/>
      <w:marBottom w:val="0"/>
      <w:divBdr>
        <w:top w:val="none" w:sz="0" w:space="0" w:color="auto"/>
        <w:left w:val="none" w:sz="0" w:space="0" w:color="auto"/>
        <w:bottom w:val="none" w:sz="0" w:space="0" w:color="auto"/>
        <w:right w:val="none" w:sz="0" w:space="0" w:color="auto"/>
      </w:divBdr>
    </w:div>
    <w:div w:id="327562301">
      <w:bodyDiv w:val="1"/>
      <w:marLeft w:val="0"/>
      <w:marRight w:val="0"/>
      <w:marTop w:val="0"/>
      <w:marBottom w:val="0"/>
      <w:divBdr>
        <w:top w:val="none" w:sz="0" w:space="0" w:color="auto"/>
        <w:left w:val="none" w:sz="0" w:space="0" w:color="auto"/>
        <w:bottom w:val="none" w:sz="0" w:space="0" w:color="auto"/>
        <w:right w:val="none" w:sz="0" w:space="0" w:color="auto"/>
      </w:divBdr>
    </w:div>
    <w:div w:id="383876601">
      <w:bodyDiv w:val="1"/>
      <w:marLeft w:val="0"/>
      <w:marRight w:val="0"/>
      <w:marTop w:val="0"/>
      <w:marBottom w:val="0"/>
      <w:divBdr>
        <w:top w:val="none" w:sz="0" w:space="0" w:color="auto"/>
        <w:left w:val="none" w:sz="0" w:space="0" w:color="auto"/>
        <w:bottom w:val="none" w:sz="0" w:space="0" w:color="auto"/>
        <w:right w:val="none" w:sz="0" w:space="0" w:color="auto"/>
      </w:divBdr>
    </w:div>
    <w:div w:id="443159009">
      <w:bodyDiv w:val="1"/>
      <w:marLeft w:val="0"/>
      <w:marRight w:val="0"/>
      <w:marTop w:val="0"/>
      <w:marBottom w:val="0"/>
      <w:divBdr>
        <w:top w:val="none" w:sz="0" w:space="0" w:color="auto"/>
        <w:left w:val="none" w:sz="0" w:space="0" w:color="auto"/>
        <w:bottom w:val="none" w:sz="0" w:space="0" w:color="auto"/>
        <w:right w:val="none" w:sz="0" w:space="0" w:color="auto"/>
      </w:divBdr>
    </w:div>
    <w:div w:id="472717163">
      <w:bodyDiv w:val="1"/>
      <w:marLeft w:val="0"/>
      <w:marRight w:val="0"/>
      <w:marTop w:val="0"/>
      <w:marBottom w:val="0"/>
      <w:divBdr>
        <w:top w:val="none" w:sz="0" w:space="0" w:color="auto"/>
        <w:left w:val="none" w:sz="0" w:space="0" w:color="auto"/>
        <w:bottom w:val="none" w:sz="0" w:space="0" w:color="auto"/>
        <w:right w:val="none" w:sz="0" w:space="0" w:color="auto"/>
      </w:divBdr>
    </w:div>
    <w:div w:id="500773373">
      <w:bodyDiv w:val="1"/>
      <w:marLeft w:val="0"/>
      <w:marRight w:val="0"/>
      <w:marTop w:val="0"/>
      <w:marBottom w:val="0"/>
      <w:divBdr>
        <w:top w:val="none" w:sz="0" w:space="0" w:color="auto"/>
        <w:left w:val="none" w:sz="0" w:space="0" w:color="auto"/>
        <w:bottom w:val="none" w:sz="0" w:space="0" w:color="auto"/>
        <w:right w:val="none" w:sz="0" w:space="0" w:color="auto"/>
      </w:divBdr>
    </w:div>
    <w:div w:id="514148629">
      <w:bodyDiv w:val="1"/>
      <w:marLeft w:val="0"/>
      <w:marRight w:val="0"/>
      <w:marTop w:val="0"/>
      <w:marBottom w:val="0"/>
      <w:divBdr>
        <w:top w:val="none" w:sz="0" w:space="0" w:color="auto"/>
        <w:left w:val="none" w:sz="0" w:space="0" w:color="auto"/>
        <w:bottom w:val="none" w:sz="0" w:space="0" w:color="auto"/>
        <w:right w:val="none" w:sz="0" w:space="0" w:color="auto"/>
      </w:divBdr>
    </w:div>
    <w:div w:id="514419702">
      <w:bodyDiv w:val="1"/>
      <w:marLeft w:val="0"/>
      <w:marRight w:val="0"/>
      <w:marTop w:val="0"/>
      <w:marBottom w:val="0"/>
      <w:divBdr>
        <w:top w:val="none" w:sz="0" w:space="0" w:color="auto"/>
        <w:left w:val="none" w:sz="0" w:space="0" w:color="auto"/>
        <w:bottom w:val="none" w:sz="0" w:space="0" w:color="auto"/>
        <w:right w:val="none" w:sz="0" w:space="0" w:color="auto"/>
      </w:divBdr>
    </w:div>
    <w:div w:id="518741667">
      <w:bodyDiv w:val="1"/>
      <w:marLeft w:val="0"/>
      <w:marRight w:val="0"/>
      <w:marTop w:val="0"/>
      <w:marBottom w:val="0"/>
      <w:divBdr>
        <w:top w:val="none" w:sz="0" w:space="0" w:color="auto"/>
        <w:left w:val="none" w:sz="0" w:space="0" w:color="auto"/>
        <w:bottom w:val="none" w:sz="0" w:space="0" w:color="auto"/>
        <w:right w:val="none" w:sz="0" w:space="0" w:color="auto"/>
      </w:divBdr>
    </w:div>
    <w:div w:id="564686951">
      <w:bodyDiv w:val="1"/>
      <w:marLeft w:val="0"/>
      <w:marRight w:val="0"/>
      <w:marTop w:val="0"/>
      <w:marBottom w:val="0"/>
      <w:divBdr>
        <w:top w:val="none" w:sz="0" w:space="0" w:color="auto"/>
        <w:left w:val="none" w:sz="0" w:space="0" w:color="auto"/>
        <w:bottom w:val="none" w:sz="0" w:space="0" w:color="auto"/>
        <w:right w:val="none" w:sz="0" w:space="0" w:color="auto"/>
      </w:divBdr>
    </w:div>
    <w:div w:id="574780237">
      <w:bodyDiv w:val="1"/>
      <w:marLeft w:val="0"/>
      <w:marRight w:val="0"/>
      <w:marTop w:val="0"/>
      <w:marBottom w:val="0"/>
      <w:divBdr>
        <w:top w:val="none" w:sz="0" w:space="0" w:color="auto"/>
        <w:left w:val="none" w:sz="0" w:space="0" w:color="auto"/>
        <w:bottom w:val="none" w:sz="0" w:space="0" w:color="auto"/>
        <w:right w:val="none" w:sz="0" w:space="0" w:color="auto"/>
      </w:divBdr>
    </w:div>
    <w:div w:id="579364236">
      <w:bodyDiv w:val="1"/>
      <w:marLeft w:val="0"/>
      <w:marRight w:val="0"/>
      <w:marTop w:val="0"/>
      <w:marBottom w:val="0"/>
      <w:divBdr>
        <w:top w:val="none" w:sz="0" w:space="0" w:color="auto"/>
        <w:left w:val="none" w:sz="0" w:space="0" w:color="auto"/>
        <w:bottom w:val="none" w:sz="0" w:space="0" w:color="auto"/>
        <w:right w:val="none" w:sz="0" w:space="0" w:color="auto"/>
      </w:divBdr>
    </w:div>
    <w:div w:id="587465365">
      <w:bodyDiv w:val="1"/>
      <w:marLeft w:val="0"/>
      <w:marRight w:val="0"/>
      <w:marTop w:val="0"/>
      <w:marBottom w:val="0"/>
      <w:divBdr>
        <w:top w:val="none" w:sz="0" w:space="0" w:color="auto"/>
        <w:left w:val="none" w:sz="0" w:space="0" w:color="auto"/>
        <w:bottom w:val="none" w:sz="0" w:space="0" w:color="auto"/>
        <w:right w:val="none" w:sz="0" w:space="0" w:color="auto"/>
      </w:divBdr>
    </w:div>
    <w:div w:id="587812052">
      <w:bodyDiv w:val="1"/>
      <w:marLeft w:val="0"/>
      <w:marRight w:val="0"/>
      <w:marTop w:val="0"/>
      <w:marBottom w:val="0"/>
      <w:divBdr>
        <w:top w:val="none" w:sz="0" w:space="0" w:color="auto"/>
        <w:left w:val="none" w:sz="0" w:space="0" w:color="auto"/>
        <w:bottom w:val="none" w:sz="0" w:space="0" w:color="auto"/>
        <w:right w:val="none" w:sz="0" w:space="0" w:color="auto"/>
      </w:divBdr>
    </w:div>
    <w:div w:id="597832438">
      <w:bodyDiv w:val="1"/>
      <w:marLeft w:val="0"/>
      <w:marRight w:val="0"/>
      <w:marTop w:val="0"/>
      <w:marBottom w:val="0"/>
      <w:divBdr>
        <w:top w:val="none" w:sz="0" w:space="0" w:color="auto"/>
        <w:left w:val="none" w:sz="0" w:space="0" w:color="auto"/>
        <w:bottom w:val="none" w:sz="0" w:space="0" w:color="auto"/>
        <w:right w:val="none" w:sz="0" w:space="0" w:color="auto"/>
      </w:divBdr>
    </w:div>
    <w:div w:id="598367086">
      <w:bodyDiv w:val="1"/>
      <w:marLeft w:val="0"/>
      <w:marRight w:val="0"/>
      <w:marTop w:val="0"/>
      <w:marBottom w:val="0"/>
      <w:divBdr>
        <w:top w:val="none" w:sz="0" w:space="0" w:color="auto"/>
        <w:left w:val="none" w:sz="0" w:space="0" w:color="auto"/>
        <w:bottom w:val="none" w:sz="0" w:space="0" w:color="auto"/>
        <w:right w:val="none" w:sz="0" w:space="0" w:color="auto"/>
      </w:divBdr>
    </w:div>
    <w:div w:id="611597479">
      <w:bodyDiv w:val="1"/>
      <w:marLeft w:val="0"/>
      <w:marRight w:val="0"/>
      <w:marTop w:val="0"/>
      <w:marBottom w:val="0"/>
      <w:divBdr>
        <w:top w:val="none" w:sz="0" w:space="0" w:color="auto"/>
        <w:left w:val="none" w:sz="0" w:space="0" w:color="auto"/>
        <w:bottom w:val="none" w:sz="0" w:space="0" w:color="auto"/>
        <w:right w:val="none" w:sz="0" w:space="0" w:color="auto"/>
      </w:divBdr>
    </w:div>
    <w:div w:id="624654513">
      <w:bodyDiv w:val="1"/>
      <w:marLeft w:val="0"/>
      <w:marRight w:val="0"/>
      <w:marTop w:val="0"/>
      <w:marBottom w:val="0"/>
      <w:divBdr>
        <w:top w:val="none" w:sz="0" w:space="0" w:color="auto"/>
        <w:left w:val="none" w:sz="0" w:space="0" w:color="auto"/>
        <w:bottom w:val="none" w:sz="0" w:space="0" w:color="auto"/>
        <w:right w:val="none" w:sz="0" w:space="0" w:color="auto"/>
      </w:divBdr>
    </w:div>
    <w:div w:id="629629362">
      <w:bodyDiv w:val="1"/>
      <w:marLeft w:val="0"/>
      <w:marRight w:val="0"/>
      <w:marTop w:val="0"/>
      <w:marBottom w:val="0"/>
      <w:divBdr>
        <w:top w:val="none" w:sz="0" w:space="0" w:color="auto"/>
        <w:left w:val="none" w:sz="0" w:space="0" w:color="auto"/>
        <w:bottom w:val="none" w:sz="0" w:space="0" w:color="auto"/>
        <w:right w:val="none" w:sz="0" w:space="0" w:color="auto"/>
      </w:divBdr>
    </w:div>
    <w:div w:id="641422803">
      <w:bodyDiv w:val="1"/>
      <w:marLeft w:val="0"/>
      <w:marRight w:val="0"/>
      <w:marTop w:val="0"/>
      <w:marBottom w:val="0"/>
      <w:divBdr>
        <w:top w:val="none" w:sz="0" w:space="0" w:color="auto"/>
        <w:left w:val="none" w:sz="0" w:space="0" w:color="auto"/>
        <w:bottom w:val="none" w:sz="0" w:space="0" w:color="auto"/>
        <w:right w:val="none" w:sz="0" w:space="0" w:color="auto"/>
      </w:divBdr>
    </w:div>
    <w:div w:id="655302582">
      <w:bodyDiv w:val="1"/>
      <w:marLeft w:val="0"/>
      <w:marRight w:val="0"/>
      <w:marTop w:val="0"/>
      <w:marBottom w:val="0"/>
      <w:divBdr>
        <w:top w:val="none" w:sz="0" w:space="0" w:color="auto"/>
        <w:left w:val="none" w:sz="0" w:space="0" w:color="auto"/>
        <w:bottom w:val="none" w:sz="0" w:space="0" w:color="auto"/>
        <w:right w:val="none" w:sz="0" w:space="0" w:color="auto"/>
      </w:divBdr>
    </w:div>
    <w:div w:id="695083958">
      <w:bodyDiv w:val="1"/>
      <w:marLeft w:val="0"/>
      <w:marRight w:val="0"/>
      <w:marTop w:val="0"/>
      <w:marBottom w:val="0"/>
      <w:divBdr>
        <w:top w:val="none" w:sz="0" w:space="0" w:color="auto"/>
        <w:left w:val="none" w:sz="0" w:space="0" w:color="auto"/>
        <w:bottom w:val="none" w:sz="0" w:space="0" w:color="auto"/>
        <w:right w:val="none" w:sz="0" w:space="0" w:color="auto"/>
      </w:divBdr>
    </w:div>
    <w:div w:id="696128088">
      <w:bodyDiv w:val="1"/>
      <w:marLeft w:val="0"/>
      <w:marRight w:val="0"/>
      <w:marTop w:val="0"/>
      <w:marBottom w:val="0"/>
      <w:divBdr>
        <w:top w:val="none" w:sz="0" w:space="0" w:color="auto"/>
        <w:left w:val="none" w:sz="0" w:space="0" w:color="auto"/>
        <w:bottom w:val="none" w:sz="0" w:space="0" w:color="auto"/>
        <w:right w:val="none" w:sz="0" w:space="0" w:color="auto"/>
      </w:divBdr>
    </w:div>
    <w:div w:id="698432499">
      <w:bodyDiv w:val="1"/>
      <w:marLeft w:val="0"/>
      <w:marRight w:val="0"/>
      <w:marTop w:val="0"/>
      <w:marBottom w:val="0"/>
      <w:divBdr>
        <w:top w:val="none" w:sz="0" w:space="0" w:color="auto"/>
        <w:left w:val="none" w:sz="0" w:space="0" w:color="auto"/>
        <w:bottom w:val="none" w:sz="0" w:space="0" w:color="auto"/>
        <w:right w:val="none" w:sz="0" w:space="0" w:color="auto"/>
      </w:divBdr>
    </w:div>
    <w:div w:id="700712627">
      <w:bodyDiv w:val="1"/>
      <w:marLeft w:val="0"/>
      <w:marRight w:val="0"/>
      <w:marTop w:val="0"/>
      <w:marBottom w:val="0"/>
      <w:divBdr>
        <w:top w:val="none" w:sz="0" w:space="0" w:color="auto"/>
        <w:left w:val="none" w:sz="0" w:space="0" w:color="auto"/>
        <w:bottom w:val="none" w:sz="0" w:space="0" w:color="auto"/>
        <w:right w:val="none" w:sz="0" w:space="0" w:color="auto"/>
      </w:divBdr>
    </w:div>
    <w:div w:id="726996814">
      <w:bodyDiv w:val="1"/>
      <w:marLeft w:val="0"/>
      <w:marRight w:val="0"/>
      <w:marTop w:val="0"/>
      <w:marBottom w:val="0"/>
      <w:divBdr>
        <w:top w:val="none" w:sz="0" w:space="0" w:color="auto"/>
        <w:left w:val="none" w:sz="0" w:space="0" w:color="auto"/>
        <w:bottom w:val="none" w:sz="0" w:space="0" w:color="auto"/>
        <w:right w:val="none" w:sz="0" w:space="0" w:color="auto"/>
      </w:divBdr>
    </w:div>
    <w:div w:id="733163684">
      <w:bodyDiv w:val="1"/>
      <w:marLeft w:val="0"/>
      <w:marRight w:val="0"/>
      <w:marTop w:val="0"/>
      <w:marBottom w:val="0"/>
      <w:divBdr>
        <w:top w:val="none" w:sz="0" w:space="0" w:color="auto"/>
        <w:left w:val="none" w:sz="0" w:space="0" w:color="auto"/>
        <w:bottom w:val="none" w:sz="0" w:space="0" w:color="auto"/>
        <w:right w:val="none" w:sz="0" w:space="0" w:color="auto"/>
      </w:divBdr>
    </w:div>
    <w:div w:id="760685157">
      <w:bodyDiv w:val="1"/>
      <w:marLeft w:val="0"/>
      <w:marRight w:val="0"/>
      <w:marTop w:val="0"/>
      <w:marBottom w:val="0"/>
      <w:divBdr>
        <w:top w:val="none" w:sz="0" w:space="0" w:color="auto"/>
        <w:left w:val="none" w:sz="0" w:space="0" w:color="auto"/>
        <w:bottom w:val="none" w:sz="0" w:space="0" w:color="auto"/>
        <w:right w:val="none" w:sz="0" w:space="0" w:color="auto"/>
      </w:divBdr>
    </w:div>
    <w:div w:id="786041666">
      <w:bodyDiv w:val="1"/>
      <w:marLeft w:val="0"/>
      <w:marRight w:val="0"/>
      <w:marTop w:val="0"/>
      <w:marBottom w:val="0"/>
      <w:divBdr>
        <w:top w:val="none" w:sz="0" w:space="0" w:color="auto"/>
        <w:left w:val="none" w:sz="0" w:space="0" w:color="auto"/>
        <w:bottom w:val="none" w:sz="0" w:space="0" w:color="auto"/>
        <w:right w:val="none" w:sz="0" w:space="0" w:color="auto"/>
      </w:divBdr>
    </w:div>
    <w:div w:id="794372693">
      <w:bodyDiv w:val="1"/>
      <w:marLeft w:val="0"/>
      <w:marRight w:val="0"/>
      <w:marTop w:val="0"/>
      <w:marBottom w:val="0"/>
      <w:divBdr>
        <w:top w:val="none" w:sz="0" w:space="0" w:color="auto"/>
        <w:left w:val="none" w:sz="0" w:space="0" w:color="auto"/>
        <w:bottom w:val="none" w:sz="0" w:space="0" w:color="auto"/>
        <w:right w:val="none" w:sz="0" w:space="0" w:color="auto"/>
      </w:divBdr>
    </w:div>
    <w:div w:id="808858358">
      <w:bodyDiv w:val="1"/>
      <w:marLeft w:val="0"/>
      <w:marRight w:val="0"/>
      <w:marTop w:val="0"/>
      <w:marBottom w:val="0"/>
      <w:divBdr>
        <w:top w:val="none" w:sz="0" w:space="0" w:color="auto"/>
        <w:left w:val="none" w:sz="0" w:space="0" w:color="auto"/>
        <w:bottom w:val="none" w:sz="0" w:space="0" w:color="auto"/>
        <w:right w:val="none" w:sz="0" w:space="0" w:color="auto"/>
      </w:divBdr>
    </w:div>
    <w:div w:id="831457436">
      <w:bodyDiv w:val="1"/>
      <w:marLeft w:val="0"/>
      <w:marRight w:val="0"/>
      <w:marTop w:val="0"/>
      <w:marBottom w:val="0"/>
      <w:divBdr>
        <w:top w:val="none" w:sz="0" w:space="0" w:color="auto"/>
        <w:left w:val="none" w:sz="0" w:space="0" w:color="auto"/>
        <w:bottom w:val="none" w:sz="0" w:space="0" w:color="auto"/>
        <w:right w:val="none" w:sz="0" w:space="0" w:color="auto"/>
      </w:divBdr>
    </w:div>
    <w:div w:id="842473291">
      <w:bodyDiv w:val="1"/>
      <w:marLeft w:val="0"/>
      <w:marRight w:val="0"/>
      <w:marTop w:val="0"/>
      <w:marBottom w:val="0"/>
      <w:divBdr>
        <w:top w:val="none" w:sz="0" w:space="0" w:color="auto"/>
        <w:left w:val="none" w:sz="0" w:space="0" w:color="auto"/>
        <w:bottom w:val="none" w:sz="0" w:space="0" w:color="auto"/>
        <w:right w:val="none" w:sz="0" w:space="0" w:color="auto"/>
      </w:divBdr>
    </w:div>
    <w:div w:id="844630755">
      <w:bodyDiv w:val="1"/>
      <w:marLeft w:val="0"/>
      <w:marRight w:val="0"/>
      <w:marTop w:val="0"/>
      <w:marBottom w:val="0"/>
      <w:divBdr>
        <w:top w:val="none" w:sz="0" w:space="0" w:color="auto"/>
        <w:left w:val="none" w:sz="0" w:space="0" w:color="auto"/>
        <w:bottom w:val="none" w:sz="0" w:space="0" w:color="auto"/>
        <w:right w:val="none" w:sz="0" w:space="0" w:color="auto"/>
      </w:divBdr>
    </w:div>
    <w:div w:id="852911741">
      <w:bodyDiv w:val="1"/>
      <w:marLeft w:val="0"/>
      <w:marRight w:val="0"/>
      <w:marTop w:val="0"/>
      <w:marBottom w:val="0"/>
      <w:divBdr>
        <w:top w:val="none" w:sz="0" w:space="0" w:color="auto"/>
        <w:left w:val="none" w:sz="0" w:space="0" w:color="auto"/>
        <w:bottom w:val="none" w:sz="0" w:space="0" w:color="auto"/>
        <w:right w:val="none" w:sz="0" w:space="0" w:color="auto"/>
      </w:divBdr>
    </w:div>
    <w:div w:id="873347482">
      <w:bodyDiv w:val="1"/>
      <w:marLeft w:val="0"/>
      <w:marRight w:val="0"/>
      <w:marTop w:val="0"/>
      <w:marBottom w:val="0"/>
      <w:divBdr>
        <w:top w:val="none" w:sz="0" w:space="0" w:color="auto"/>
        <w:left w:val="none" w:sz="0" w:space="0" w:color="auto"/>
        <w:bottom w:val="none" w:sz="0" w:space="0" w:color="auto"/>
        <w:right w:val="none" w:sz="0" w:space="0" w:color="auto"/>
      </w:divBdr>
    </w:div>
    <w:div w:id="876235288">
      <w:bodyDiv w:val="1"/>
      <w:marLeft w:val="0"/>
      <w:marRight w:val="0"/>
      <w:marTop w:val="0"/>
      <w:marBottom w:val="0"/>
      <w:divBdr>
        <w:top w:val="none" w:sz="0" w:space="0" w:color="auto"/>
        <w:left w:val="none" w:sz="0" w:space="0" w:color="auto"/>
        <w:bottom w:val="none" w:sz="0" w:space="0" w:color="auto"/>
        <w:right w:val="none" w:sz="0" w:space="0" w:color="auto"/>
      </w:divBdr>
    </w:div>
    <w:div w:id="917907469">
      <w:bodyDiv w:val="1"/>
      <w:marLeft w:val="0"/>
      <w:marRight w:val="0"/>
      <w:marTop w:val="0"/>
      <w:marBottom w:val="0"/>
      <w:divBdr>
        <w:top w:val="none" w:sz="0" w:space="0" w:color="auto"/>
        <w:left w:val="none" w:sz="0" w:space="0" w:color="auto"/>
        <w:bottom w:val="none" w:sz="0" w:space="0" w:color="auto"/>
        <w:right w:val="none" w:sz="0" w:space="0" w:color="auto"/>
      </w:divBdr>
    </w:div>
    <w:div w:id="923344341">
      <w:bodyDiv w:val="1"/>
      <w:marLeft w:val="0"/>
      <w:marRight w:val="0"/>
      <w:marTop w:val="0"/>
      <w:marBottom w:val="0"/>
      <w:divBdr>
        <w:top w:val="none" w:sz="0" w:space="0" w:color="auto"/>
        <w:left w:val="none" w:sz="0" w:space="0" w:color="auto"/>
        <w:bottom w:val="none" w:sz="0" w:space="0" w:color="auto"/>
        <w:right w:val="none" w:sz="0" w:space="0" w:color="auto"/>
      </w:divBdr>
    </w:div>
    <w:div w:id="926424593">
      <w:bodyDiv w:val="1"/>
      <w:marLeft w:val="0"/>
      <w:marRight w:val="0"/>
      <w:marTop w:val="0"/>
      <w:marBottom w:val="0"/>
      <w:divBdr>
        <w:top w:val="none" w:sz="0" w:space="0" w:color="auto"/>
        <w:left w:val="none" w:sz="0" w:space="0" w:color="auto"/>
        <w:bottom w:val="none" w:sz="0" w:space="0" w:color="auto"/>
        <w:right w:val="none" w:sz="0" w:space="0" w:color="auto"/>
      </w:divBdr>
    </w:div>
    <w:div w:id="993294075">
      <w:bodyDiv w:val="1"/>
      <w:marLeft w:val="0"/>
      <w:marRight w:val="0"/>
      <w:marTop w:val="0"/>
      <w:marBottom w:val="0"/>
      <w:divBdr>
        <w:top w:val="none" w:sz="0" w:space="0" w:color="auto"/>
        <w:left w:val="none" w:sz="0" w:space="0" w:color="auto"/>
        <w:bottom w:val="none" w:sz="0" w:space="0" w:color="auto"/>
        <w:right w:val="none" w:sz="0" w:space="0" w:color="auto"/>
      </w:divBdr>
    </w:div>
    <w:div w:id="995838435">
      <w:bodyDiv w:val="1"/>
      <w:marLeft w:val="0"/>
      <w:marRight w:val="0"/>
      <w:marTop w:val="0"/>
      <w:marBottom w:val="0"/>
      <w:divBdr>
        <w:top w:val="none" w:sz="0" w:space="0" w:color="auto"/>
        <w:left w:val="none" w:sz="0" w:space="0" w:color="auto"/>
        <w:bottom w:val="none" w:sz="0" w:space="0" w:color="auto"/>
        <w:right w:val="none" w:sz="0" w:space="0" w:color="auto"/>
      </w:divBdr>
    </w:div>
    <w:div w:id="1038630918">
      <w:bodyDiv w:val="1"/>
      <w:marLeft w:val="0"/>
      <w:marRight w:val="0"/>
      <w:marTop w:val="0"/>
      <w:marBottom w:val="0"/>
      <w:divBdr>
        <w:top w:val="none" w:sz="0" w:space="0" w:color="auto"/>
        <w:left w:val="none" w:sz="0" w:space="0" w:color="auto"/>
        <w:bottom w:val="none" w:sz="0" w:space="0" w:color="auto"/>
        <w:right w:val="none" w:sz="0" w:space="0" w:color="auto"/>
      </w:divBdr>
    </w:div>
    <w:div w:id="1102916565">
      <w:bodyDiv w:val="1"/>
      <w:marLeft w:val="0"/>
      <w:marRight w:val="0"/>
      <w:marTop w:val="0"/>
      <w:marBottom w:val="0"/>
      <w:divBdr>
        <w:top w:val="none" w:sz="0" w:space="0" w:color="auto"/>
        <w:left w:val="none" w:sz="0" w:space="0" w:color="auto"/>
        <w:bottom w:val="none" w:sz="0" w:space="0" w:color="auto"/>
        <w:right w:val="none" w:sz="0" w:space="0" w:color="auto"/>
      </w:divBdr>
    </w:div>
    <w:div w:id="1124815276">
      <w:bodyDiv w:val="1"/>
      <w:marLeft w:val="0"/>
      <w:marRight w:val="0"/>
      <w:marTop w:val="0"/>
      <w:marBottom w:val="0"/>
      <w:divBdr>
        <w:top w:val="none" w:sz="0" w:space="0" w:color="auto"/>
        <w:left w:val="none" w:sz="0" w:space="0" w:color="auto"/>
        <w:bottom w:val="none" w:sz="0" w:space="0" w:color="auto"/>
        <w:right w:val="none" w:sz="0" w:space="0" w:color="auto"/>
      </w:divBdr>
    </w:div>
    <w:div w:id="1128549526">
      <w:bodyDiv w:val="1"/>
      <w:marLeft w:val="0"/>
      <w:marRight w:val="0"/>
      <w:marTop w:val="0"/>
      <w:marBottom w:val="0"/>
      <w:divBdr>
        <w:top w:val="none" w:sz="0" w:space="0" w:color="auto"/>
        <w:left w:val="none" w:sz="0" w:space="0" w:color="auto"/>
        <w:bottom w:val="none" w:sz="0" w:space="0" w:color="auto"/>
        <w:right w:val="none" w:sz="0" w:space="0" w:color="auto"/>
      </w:divBdr>
    </w:div>
    <w:div w:id="1137914027">
      <w:bodyDiv w:val="1"/>
      <w:marLeft w:val="0"/>
      <w:marRight w:val="0"/>
      <w:marTop w:val="0"/>
      <w:marBottom w:val="0"/>
      <w:divBdr>
        <w:top w:val="none" w:sz="0" w:space="0" w:color="auto"/>
        <w:left w:val="none" w:sz="0" w:space="0" w:color="auto"/>
        <w:bottom w:val="none" w:sz="0" w:space="0" w:color="auto"/>
        <w:right w:val="none" w:sz="0" w:space="0" w:color="auto"/>
      </w:divBdr>
    </w:div>
    <w:div w:id="1138105761">
      <w:bodyDiv w:val="1"/>
      <w:marLeft w:val="0"/>
      <w:marRight w:val="0"/>
      <w:marTop w:val="0"/>
      <w:marBottom w:val="0"/>
      <w:divBdr>
        <w:top w:val="none" w:sz="0" w:space="0" w:color="auto"/>
        <w:left w:val="none" w:sz="0" w:space="0" w:color="auto"/>
        <w:bottom w:val="none" w:sz="0" w:space="0" w:color="auto"/>
        <w:right w:val="none" w:sz="0" w:space="0" w:color="auto"/>
      </w:divBdr>
    </w:div>
    <w:div w:id="1152216194">
      <w:bodyDiv w:val="1"/>
      <w:marLeft w:val="0"/>
      <w:marRight w:val="0"/>
      <w:marTop w:val="0"/>
      <w:marBottom w:val="0"/>
      <w:divBdr>
        <w:top w:val="none" w:sz="0" w:space="0" w:color="auto"/>
        <w:left w:val="none" w:sz="0" w:space="0" w:color="auto"/>
        <w:bottom w:val="none" w:sz="0" w:space="0" w:color="auto"/>
        <w:right w:val="none" w:sz="0" w:space="0" w:color="auto"/>
      </w:divBdr>
    </w:div>
    <w:div w:id="1180588682">
      <w:bodyDiv w:val="1"/>
      <w:marLeft w:val="0"/>
      <w:marRight w:val="0"/>
      <w:marTop w:val="0"/>
      <w:marBottom w:val="0"/>
      <w:divBdr>
        <w:top w:val="none" w:sz="0" w:space="0" w:color="auto"/>
        <w:left w:val="none" w:sz="0" w:space="0" w:color="auto"/>
        <w:bottom w:val="none" w:sz="0" w:space="0" w:color="auto"/>
        <w:right w:val="none" w:sz="0" w:space="0" w:color="auto"/>
      </w:divBdr>
    </w:div>
    <w:div w:id="1188831727">
      <w:bodyDiv w:val="1"/>
      <w:marLeft w:val="0"/>
      <w:marRight w:val="0"/>
      <w:marTop w:val="0"/>
      <w:marBottom w:val="0"/>
      <w:divBdr>
        <w:top w:val="none" w:sz="0" w:space="0" w:color="auto"/>
        <w:left w:val="none" w:sz="0" w:space="0" w:color="auto"/>
        <w:bottom w:val="none" w:sz="0" w:space="0" w:color="auto"/>
        <w:right w:val="none" w:sz="0" w:space="0" w:color="auto"/>
      </w:divBdr>
    </w:div>
    <w:div w:id="1214120076">
      <w:bodyDiv w:val="1"/>
      <w:marLeft w:val="0"/>
      <w:marRight w:val="0"/>
      <w:marTop w:val="0"/>
      <w:marBottom w:val="0"/>
      <w:divBdr>
        <w:top w:val="none" w:sz="0" w:space="0" w:color="auto"/>
        <w:left w:val="none" w:sz="0" w:space="0" w:color="auto"/>
        <w:bottom w:val="none" w:sz="0" w:space="0" w:color="auto"/>
        <w:right w:val="none" w:sz="0" w:space="0" w:color="auto"/>
      </w:divBdr>
    </w:div>
    <w:div w:id="1217283589">
      <w:bodyDiv w:val="1"/>
      <w:marLeft w:val="0"/>
      <w:marRight w:val="0"/>
      <w:marTop w:val="0"/>
      <w:marBottom w:val="0"/>
      <w:divBdr>
        <w:top w:val="none" w:sz="0" w:space="0" w:color="auto"/>
        <w:left w:val="none" w:sz="0" w:space="0" w:color="auto"/>
        <w:bottom w:val="none" w:sz="0" w:space="0" w:color="auto"/>
        <w:right w:val="none" w:sz="0" w:space="0" w:color="auto"/>
      </w:divBdr>
    </w:div>
    <w:div w:id="1220168636">
      <w:bodyDiv w:val="1"/>
      <w:marLeft w:val="0"/>
      <w:marRight w:val="0"/>
      <w:marTop w:val="0"/>
      <w:marBottom w:val="0"/>
      <w:divBdr>
        <w:top w:val="none" w:sz="0" w:space="0" w:color="auto"/>
        <w:left w:val="none" w:sz="0" w:space="0" w:color="auto"/>
        <w:bottom w:val="none" w:sz="0" w:space="0" w:color="auto"/>
        <w:right w:val="none" w:sz="0" w:space="0" w:color="auto"/>
      </w:divBdr>
    </w:div>
    <w:div w:id="1245530285">
      <w:bodyDiv w:val="1"/>
      <w:marLeft w:val="0"/>
      <w:marRight w:val="0"/>
      <w:marTop w:val="0"/>
      <w:marBottom w:val="0"/>
      <w:divBdr>
        <w:top w:val="none" w:sz="0" w:space="0" w:color="auto"/>
        <w:left w:val="none" w:sz="0" w:space="0" w:color="auto"/>
        <w:bottom w:val="none" w:sz="0" w:space="0" w:color="auto"/>
        <w:right w:val="none" w:sz="0" w:space="0" w:color="auto"/>
      </w:divBdr>
    </w:div>
    <w:div w:id="1264344010">
      <w:bodyDiv w:val="1"/>
      <w:marLeft w:val="0"/>
      <w:marRight w:val="0"/>
      <w:marTop w:val="0"/>
      <w:marBottom w:val="0"/>
      <w:divBdr>
        <w:top w:val="none" w:sz="0" w:space="0" w:color="auto"/>
        <w:left w:val="none" w:sz="0" w:space="0" w:color="auto"/>
        <w:bottom w:val="none" w:sz="0" w:space="0" w:color="auto"/>
        <w:right w:val="none" w:sz="0" w:space="0" w:color="auto"/>
      </w:divBdr>
    </w:div>
    <w:div w:id="1317223994">
      <w:bodyDiv w:val="1"/>
      <w:marLeft w:val="0"/>
      <w:marRight w:val="0"/>
      <w:marTop w:val="0"/>
      <w:marBottom w:val="0"/>
      <w:divBdr>
        <w:top w:val="none" w:sz="0" w:space="0" w:color="auto"/>
        <w:left w:val="none" w:sz="0" w:space="0" w:color="auto"/>
        <w:bottom w:val="none" w:sz="0" w:space="0" w:color="auto"/>
        <w:right w:val="none" w:sz="0" w:space="0" w:color="auto"/>
      </w:divBdr>
    </w:div>
    <w:div w:id="1379014920">
      <w:bodyDiv w:val="1"/>
      <w:marLeft w:val="0"/>
      <w:marRight w:val="0"/>
      <w:marTop w:val="0"/>
      <w:marBottom w:val="0"/>
      <w:divBdr>
        <w:top w:val="none" w:sz="0" w:space="0" w:color="auto"/>
        <w:left w:val="none" w:sz="0" w:space="0" w:color="auto"/>
        <w:bottom w:val="none" w:sz="0" w:space="0" w:color="auto"/>
        <w:right w:val="none" w:sz="0" w:space="0" w:color="auto"/>
      </w:divBdr>
    </w:div>
    <w:div w:id="1384404029">
      <w:bodyDiv w:val="1"/>
      <w:marLeft w:val="0"/>
      <w:marRight w:val="0"/>
      <w:marTop w:val="0"/>
      <w:marBottom w:val="0"/>
      <w:divBdr>
        <w:top w:val="none" w:sz="0" w:space="0" w:color="auto"/>
        <w:left w:val="none" w:sz="0" w:space="0" w:color="auto"/>
        <w:bottom w:val="none" w:sz="0" w:space="0" w:color="auto"/>
        <w:right w:val="none" w:sz="0" w:space="0" w:color="auto"/>
      </w:divBdr>
    </w:div>
    <w:div w:id="1389842978">
      <w:bodyDiv w:val="1"/>
      <w:marLeft w:val="0"/>
      <w:marRight w:val="0"/>
      <w:marTop w:val="0"/>
      <w:marBottom w:val="0"/>
      <w:divBdr>
        <w:top w:val="none" w:sz="0" w:space="0" w:color="auto"/>
        <w:left w:val="none" w:sz="0" w:space="0" w:color="auto"/>
        <w:bottom w:val="none" w:sz="0" w:space="0" w:color="auto"/>
        <w:right w:val="none" w:sz="0" w:space="0" w:color="auto"/>
      </w:divBdr>
    </w:div>
    <w:div w:id="1390612298">
      <w:bodyDiv w:val="1"/>
      <w:marLeft w:val="0"/>
      <w:marRight w:val="0"/>
      <w:marTop w:val="0"/>
      <w:marBottom w:val="0"/>
      <w:divBdr>
        <w:top w:val="none" w:sz="0" w:space="0" w:color="auto"/>
        <w:left w:val="none" w:sz="0" w:space="0" w:color="auto"/>
        <w:bottom w:val="none" w:sz="0" w:space="0" w:color="auto"/>
        <w:right w:val="none" w:sz="0" w:space="0" w:color="auto"/>
      </w:divBdr>
    </w:div>
    <w:div w:id="1414278193">
      <w:bodyDiv w:val="1"/>
      <w:marLeft w:val="0"/>
      <w:marRight w:val="0"/>
      <w:marTop w:val="0"/>
      <w:marBottom w:val="0"/>
      <w:divBdr>
        <w:top w:val="none" w:sz="0" w:space="0" w:color="auto"/>
        <w:left w:val="none" w:sz="0" w:space="0" w:color="auto"/>
        <w:bottom w:val="none" w:sz="0" w:space="0" w:color="auto"/>
        <w:right w:val="none" w:sz="0" w:space="0" w:color="auto"/>
      </w:divBdr>
    </w:div>
    <w:div w:id="1416364750">
      <w:bodyDiv w:val="1"/>
      <w:marLeft w:val="0"/>
      <w:marRight w:val="0"/>
      <w:marTop w:val="0"/>
      <w:marBottom w:val="0"/>
      <w:divBdr>
        <w:top w:val="none" w:sz="0" w:space="0" w:color="auto"/>
        <w:left w:val="none" w:sz="0" w:space="0" w:color="auto"/>
        <w:bottom w:val="none" w:sz="0" w:space="0" w:color="auto"/>
        <w:right w:val="none" w:sz="0" w:space="0" w:color="auto"/>
      </w:divBdr>
    </w:div>
    <w:div w:id="1419253242">
      <w:bodyDiv w:val="1"/>
      <w:marLeft w:val="0"/>
      <w:marRight w:val="0"/>
      <w:marTop w:val="0"/>
      <w:marBottom w:val="0"/>
      <w:divBdr>
        <w:top w:val="none" w:sz="0" w:space="0" w:color="auto"/>
        <w:left w:val="none" w:sz="0" w:space="0" w:color="auto"/>
        <w:bottom w:val="none" w:sz="0" w:space="0" w:color="auto"/>
        <w:right w:val="none" w:sz="0" w:space="0" w:color="auto"/>
      </w:divBdr>
    </w:div>
    <w:div w:id="1436637613">
      <w:bodyDiv w:val="1"/>
      <w:marLeft w:val="0"/>
      <w:marRight w:val="0"/>
      <w:marTop w:val="0"/>
      <w:marBottom w:val="0"/>
      <w:divBdr>
        <w:top w:val="none" w:sz="0" w:space="0" w:color="auto"/>
        <w:left w:val="none" w:sz="0" w:space="0" w:color="auto"/>
        <w:bottom w:val="none" w:sz="0" w:space="0" w:color="auto"/>
        <w:right w:val="none" w:sz="0" w:space="0" w:color="auto"/>
      </w:divBdr>
    </w:div>
    <w:div w:id="1455520386">
      <w:bodyDiv w:val="1"/>
      <w:marLeft w:val="0"/>
      <w:marRight w:val="0"/>
      <w:marTop w:val="0"/>
      <w:marBottom w:val="0"/>
      <w:divBdr>
        <w:top w:val="none" w:sz="0" w:space="0" w:color="auto"/>
        <w:left w:val="none" w:sz="0" w:space="0" w:color="auto"/>
        <w:bottom w:val="none" w:sz="0" w:space="0" w:color="auto"/>
        <w:right w:val="none" w:sz="0" w:space="0" w:color="auto"/>
      </w:divBdr>
    </w:div>
    <w:div w:id="1478835654">
      <w:bodyDiv w:val="1"/>
      <w:marLeft w:val="0"/>
      <w:marRight w:val="0"/>
      <w:marTop w:val="0"/>
      <w:marBottom w:val="0"/>
      <w:divBdr>
        <w:top w:val="none" w:sz="0" w:space="0" w:color="auto"/>
        <w:left w:val="none" w:sz="0" w:space="0" w:color="auto"/>
        <w:bottom w:val="none" w:sz="0" w:space="0" w:color="auto"/>
        <w:right w:val="none" w:sz="0" w:space="0" w:color="auto"/>
      </w:divBdr>
    </w:div>
    <w:div w:id="1481264664">
      <w:bodyDiv w:val="1"/>
      <w:marLeft w:val="0"/>
      <w:marRight w:val="0"/>
      <w:marTop w:val="0"/>
      <w:marBottom w:val="0"/>
      <w:divBdr>
        <w:top w:val="none" w:sz="0" w:space="0" w:color="auto"/>
        <w:left w:val="none" w:sz="0" w:space="0" w:color="auto"/>
        <w:bottom w:val="none" w:sz="0" w:space="0" w:color="auto"/>
        <w:right w:val="none" w:sz="0" w:space="0" w:color="auto"/>
      </w:divBdr>
    </w:div>
    <w:div w:id="1483352762">
      <w:bodyDiv w:val="1"/>
      <w:marLeft w:val="0"/>
      <w:marRight w:val="0"/>
      <w:marTop w:val="0"/>
      <w:marBottom w:val="0"/>
      <w:divBdr>
        <w:top w:val="none" w:sz="0" w:space="0" w:color="auto"/>
        <w:left w:val="none" w:sz="0" w:space="0" w:color="auto"/>
        <w:bottom w:val="none" w:sz="0" w:space="0" w:color="auto"/>
        <w:right w:val="none" w:sz="0" w:space="0" w:color="auto"/>
      </w:divBdr>
    </w:div>
    <w:div w:id="1486817978">
      <w:bodyDiv w:val="1"/>
      <w:marLeft w:val="0"/>
      <w:marRight w:val="0"/>
      <w:marTop w:val="0"/>
      <w:marBottom w:val="0"/>
      <w:divBdr>
        <w:top w:val="none" w:sz="0" w:space="0" w:color="auto"/>
        <w:left w:val="none" w:sz="0" w:space="0" w:color="auto"/>
        <w:bottom w:val="none" w:sz="0" w:space="0" w:color="auto"/>
        <w:right w:val="none" w:sz="0" w:space="0" w:color="auto"/>
      </w:divBdr>
    </w:div>
    <w:div w:id="1560557256">
      <w:bodyDiv w:val="1"/>
      <w:marLeft w:val="0"/>
      <w:marRight w:val="0"/>
      <w:marTop w:val="0"/>
      <w:marBottom w:val="0"/>
      <w:divBdr>
        <w:top w:val="none" w:sz="0" w:space="0" w:color="auto"/>
        <w:left w:val="none" w:sz="0" w:space="0" w:color="auto"/>
        <w:bottom w:val="none" w:sz="0" w:space="0" w:color="auto"/>
        <w:right w:val="none" w:sz="0" w:space="0" w:color="auto"/>
      </w:divBdr>
    </w:div>
    <w:div w:id="1565675452">
      <w:bodyDiv w:val="1"/>
      <w:marLeft w:val="0"/>
      <w:marRight w:val="0"/>
      <w:marTop w:val="0"/>
      <w:marBottom w:val="0"/>
      <w:divBdr>
        <w:top w:val="none" w:sz="0" w:space="0" w:color="auto"/>
        <w:left w:val="none" w:sz="0" w:space="0" w:color="auto"/>
        <w:bottom w:val="none" w:sz="0" w:space="0" w:color="auto"/>
        <w:right w:val="none" w:sz="0" w:space="0" w:color="auto"/>
      </w:divBdr>
    </w:div>
    <w:div w:id="1585413205">
      <w:bodyDiv w:val="1"/>
      <w:marLeft w:val="0"/>
      <w:marRight w:val="0"/>
      <w:marTop w:val="0"/>
      <w:marBottom w:val="0"/>
      <w:divBdr>
        <w:top w:val="none" w:sz="0" w:space="0" w:color="auto"/>
        <w:left w:val="none" w:sz="0" w:space="0" w:color="auto"/>
        <w:bottom w:val="none" w:sz="0" w:space="0" w:color="auto"/>
        <w:right w:val="none" w:sz="0" w:space="0" w:color="auto"/>
      </w:divBdr>
    </w:div>
    <w:div w:id="1590381014">
      <w:bodyDiv w:val="1"/>
      <w:marLeft w:val="0"/>
      <w:marRight w:val="0"/>
      <w:marTop w:val="0"/>
      <w:marBottom w:val="0"/>
      <w:divBdr>
        <w:top w:val="none" w:sz="0" w:space="0" w:color="auto"/>
        <w:left w:val="none" w:sz="0" w:space="0" w:color="auto"/>
        <w:bottom w:val="none" w:sz="0" w:space="0" w:color="auto"/>
        <w:right w:val="none" w:sz="0" w:space="0" w:color="auto"/>
      </w:divBdr>
    </w:div>
    <w:div w:id="1600723538">
      <w:bodyDiv w:val="1"/>
      <w:marLeft w:val="0"/>
      <w:marRight w:val="0"/>
      <w:marTop w:val="0"/>
      <w:marBottom w:val="0"/>
      <w:divBdr>
        <w:top w:val="none" w:sz="0" w:space="0" w:color="auto"/>
        <w:left w:val="none" w:sz="0" w:space="0" w:color="auto"/>
        <w:bottom w:val="none" w:sz="0" w:space="0" w:color="auto"/>
        <w:right w:val="none" w:sz="0" w:space="0" w:color="auto"/>
      </w:divBdr>
    </w:div>
    <w:div w:id="1603143423">
      <w:bodyDiv w:val="1"/>
      <w:marLeft w:val="0"/>
      <w:marRight w:val="0"/>
      <w:marTop w:val="0"/>
      <w:marBottom w:val="0"/>
      <w:divBdr>
        <w:top w:val="none" w:sz="0" w:space="0" w:color="auto"/>
        <w:left w:val="none" w:sz="0" w:space="0" w:color="auto"/>
        <w:bottom w:val="none" w:sz="0" w:space="0" w:color="auto"/>
        <w:right w:val="none" w:sz="0" w:space="0" w:color="auto"/>
      </w:divBdr>
    </w:div>
    <w:div w:id="1621065643">
      <w:bodyDiv w:val="1"/>
      <w:marLeft w:val="0"/>
      <w:marRight w:val="0"/>
      <w:marTop w:val="0"/>
      <w:marBottom w:val="0"/>
      <w:divBdr>
        <w:top w:val="none" w:sz="0" w:space="0" w:color="auto"/>
        <w:left w:val="none" w:sz="0" w:space="0" w:color="auto"/>
        <w:bottom w:val="none" w:sz="0" w:space="0" w:color="auto"/>
        <w:right w:val="none" w:sz="0" w:space="0" w:color="auto"/>
      </w:divBdr>
    </w:div>
    <w:div w:id="1646546444">
      <w:bodyDiv w:val="1"/>
      <w:marLeft w:val="0"/>
      <w:marRight w:val="0"/>
      <w:marTop w:val="0"/>
      <w:marBottom w:val="0"/>
      <w:divBdr>
        <w:top w:val="none" w:sz="0" w:space="0" w:color="auto"/>
        <w:left w:val="none" w:sz="0" w:space="0" w:color="auto"/>
        <w:bottom w:val="none" w:sz="0" w:space="0" w:color="auto"/>
        <w:right w:val="none" w:sz="0" w:space="0" w:color="auto"/>
      </w:divBdr>
    </w:div>
    <w:div w:id="1657764273">
      <w:bodyDiv w:val="1"/>
      <w:marLeft w:val="0"/>
      <w:marRight w:val="0"/>
      <w:marTop w:val="0"/>
      <w:marBottom w:val="0"/>
      <w:divBdr>
        <w:top w:val="none" w:sz="0" w:space="0" w:color="auto"/>
        <w:left w:val="none" w:sz="0" w:space="0" w:color="auto"/>
        <w:bottom w:val="none" w:sz="0" w:space="0" w:color="auto"/>
        <w:right w:val="none" w:sz="0" w:space="0" w:color="auto"/>
      </w:divBdr>
    </w:div>
    <w:div w:id="1666587320">
      <w:bodyDiv w:val="1"/>
      <w:marLeft w:val="0"/>
      <w:marRight w:val="0"/>
      <w:marTop w:val="0"/>
      <w:marBottom w:val="0"/>
      <w:divBdr>
        <w:top w:val="none" w:sz="0" w:space="0" w:color="auto"/>
        <w:left w:val="none" w:sz="0" w:space="0" w:color="auto"/>
        <w:bottom w:val="none" w:sz="0" w:space="0" w:color="auto"/>
        <w:right w:val="none" w:sz="0" w:space="0" w:color="auto"/>
      </w:divBdr>
    </w:div>
    <w:div w:id="1690447364">
      <w:bodyDiv w:val="1"/>
      <w:marLeft w:val="0"/>
      <w:marRight w:val="0"/>
      <w:marTop w:val="0"/>
      <w:marBottom w:val="0"/>
      <w:divBdr>
        <w:top w:val="none" w:sz="0" w:space="0" w:color="auto"/>
        <w:left w:val="none" w:sz="0" w:space="0" w:color="auto"/>
        <w:bottom w:val="none" w:sz="0" w:space="0" w:color="auto"/>
        <w:right w:val="none" w:sz="0" w:space="0" w:color="auto"/>
      </w:divBdr>
    </w:div>
    <w:div w:id="1703172071">
      <w:bodyDiv w:val="1"/>
      <w:marLeft w:val="0"/>
      <w:marRight w:val="0"/>
      <w:marTop w:val="0"/>
      <w:marBottom w:val="0"/>
      <w:divBdr>
        <w:top w:val="none" w:sz="0" w:space="0" w:color="auto"/>
        <w:left w:val="none" w:sz="0" w:space="0" w:color="auto"/>
        <w:bottom w:val="none" w:sz="0" w:space="0" w:color="auto"/>
        <w:right w:val="none" w:sz="0" w:space="0" w:color="auto"/>
      </w:divBdr>
    </w:div>
    <w:div w:id="1713731300">
      <w:bodyDiv w:val="1"/>
      <w:marLeft w:val="0"/>
      <w:marRight w:val="0"/>
      <w:marTop w:val="0"/>
      <w:marBottom w:val="0"/>
      <w:divBdr>
        <w:top w:val="none" w:sz="0" w:space="0" w:color="auto"/>
        <w:left w:val="none" w:sz="0" w:space="0" w:color="auto"/>
        <w:bottom w:val="none" w:sz="0" w:space="0" w:color="auto"/>
        <w:right w:val="none" w:sz="0" w:space="0" w:color="auto"/>
      </w:divBdr>
    </w:div>
    <w:div w:id="1717578582">
      <w:bodyDiv w:val="1"/>
      <w:marLeft w:val="0"/>
      <w:marRight w:val="0"/>
      <w:marTop w:val="0"/>
      <w:marBottom w:val="0"/>
      <w:divBdr>
        <w:top w:val="none" w:sz="0" w:space="0" w:color="auto"/>
        <w:left w:val="none" w:sz="0" w:space="0" w:color="auto"/>
        <w:bottom w:val="none" w:sz="0" w:space="0" w:color="auto"/>
        <w:right w:val="none" w:sz="0" w:space="0" w:color="auto"/>
      </w:divBdr>
    </w:div>
    <w:div w:id="1719665188">
      <w:bodyDiv w:val="1"/>
      <w:marLeft w:val="0"/>
      <w:marRight w:val="0"/>
      <w:marTop w:val="0"/>
      <w:marBottom w:val="0"/>
      <w:divBdr>
        <w:top w:val="none" w:sz="0" w:space="0" w:color="auto"/>
        <w:left w:val="none" w:sz="0" w:space="0" w:color="auto"/>
        <w:bottom w:val="none" w:sz="0" w:space="0" w:color="auto"/>
        <w:right w:val="none" w:sz="0" w:space="0" w:color="auto"/>
      </w:divBdr>
    </w:div>
    <w:div w:id="1725907205">
      <w:bodyDiv w:val="1"/>
      <w:marLeft w:val="0"/>
      <w:marRight w:val="0"/>
      <w:marTop w:val="0"/>
      <w:marBottom w:val="0"/>
      <w:divBdr>
        <w:top w:val="none" w:sz="0" w:space="0" w:color="auto"/>
        <w:left w:val="none" w:sz="0" w:space="0" w:color="auto"/>
        <w:bottom w:val="none" w:sz="0" w:space="0" w:color="auto"/>
        <w:right w:val="none" w:sz="0" w:space="0" w:color="auto"/>
      </w:divBdr>
    </w:div>
    <w:div w:id="1728534279">
      <w:bodyDiv w:val="1"/>
      <w:marLeft w:val="0"/>
      <w:marRight w:val="0"/>
      <w:marTop w:val="0"/>
      <w:marBottom w:val="0"/>
      <w:divBdr>
        <w:top w:val="none" w:sz="0" w:space="0" w:color="auto"/>
        <w:left w:val="none" w:sz="0" w:space="0" w:color="auto"/>
        <w:bottom w:val="none" w:sz="0" w:space="0" w:color="auto"/>
        <w:right w:val="none" w:sz="0" w:space="0" w:color="auto"/>
      </w:divBdr>
    </w:div>
    <w:div w:id="1735659401">
      <w:bodyDiv w:val="1"/>
      <w:marLeft w:val="0"/>
      <w:marRight w:val="0"/>
      <w:marTop w:val="0"/>
      <w:marBottom w:val="0"/>
      <w:divBdr>
        <w:top w:val="none" w:sz="0" w:space="0" w:color="auto"/>
        <w:left w:val="none" w:sz="0" w:space="0" w:color="auto"/>
        <w:bottom w:val="none" w:sz="0" w:space="0" w:color="auto"/>
        <w:right w:val="none" w:sz="0" w:space="0" w:color="auto"/>
      </w:divBdr>
    </w:div>
    <w:div w:id="1747651405">
      <w:bodyDiv w:val="1"/>
      <w:marLeft w:val="0"/>
      <w:marRight w:val="0"/>
      <w:marTop w:val="0"/>
      <w:marBottom w:val="0"/>
      <w:divBdr>
        <w:top w:val="none" w:sz="0" w:space="0" w:color="auto"/>
        <w:left w:val="none" w:sz="0" w:space="0" w:color="auto"/>
        <w:bottom w:val="none" w:sz="0" w:space="0" w:color="auto"/>
        <w:right w:val="none" w:sz="0" w:space="0" w:color="auto"/>
      </w:divBdr>
    </w:div>
    <w:div w:id="1752190877">
      <w:bodyDiv w:val="1"/>
      <w:marLeft w:val="0"/>
      <w:marRight w:val="0"/>
      <w:marTop w:val="0"/>
      <w:marBottom w:val="0"/>
      <w:divBdr>
        <w:top w:val="none" w:sz="0" w:space="0" w:color="auto"/>
        <w:left w:val="none" w:sz="0" w:space="0" w:color="auto"/>
        <w:bottom w:val="none" w:sz="0" w:space="0" w:color="auto"/>
        <w:right w:val="none" w:sz="0" w:space="0" w:color="auto"/>
      </w:divBdr>
    </w:div>
    <w:div w:id="1760519339">
      <w:bodyDiv w:val="1"/>
      <w:marLeft w:val="0"/>
      <w:marRight w:val="0"/>
      <w:marTop w:val="0"/>
      <w:marBottom w:val="0"/>
      <w:divBdr>
        <w:top w:val="none" w:sz="0" w:space="0" w:color="auto"/>
        <w:left w:val="none" w:sz="0" w:space="0" w:color="auto"/>
        <w:bottom w:val="none" w:sz="0" w:space="0" w:color="auto"/>
        <w:right w:val="none" w:sz="0" w:space="0" w:color="auto"/>
      </w:divBdr>
    </w:div>
    <w:div w:id="1805852948">
      <w:bodyDiv w:val="1"/>
      <w:marLeft w:val="0"/>
      <w:marRight w:val="0"/>
      <w:marTop w:val="0"/>
      <w:marBottom w:val="0"/>
      <w:divBdr>
        <w:top w:val="none" w:sz="0" w:space="0" w:color="auto"/>
        <w:left w:val="none" w:sz="0" w:space="0" w:color="auto"/>
        <w:bottom w:val="none" w:sz="0" w:space="0" w:color="auto"/>
        <w:right w:val="none" w:sz="0" w:space="0" w:color="auto"/>
      </w:divBdr>
    </w:div>
    <w:div w:id="1820228051">
      <w:bodyDiv w:val="1"/>
      <w:marLeft w:val="0"/>
      <w:marRight w:val="0"/>
      <w:marTop w:val="0"/>
      <w:marBottom w:val="0"/>
      <w:divBdr>
        <w:top w:val="none" w:sz="0" w:space="0" w:color="auto"/>
        <w:left w:val="none" w:sz="0" w:space="0" w:color="auto"/>
        <w:bottom w:val="none" w:sz="0" w:space="0" w:color="auto"/>
        <w:right w:val="none" w:sz="0" w:space="0" w:color="auto"/>
      </w:divBdr>
    </w:div>
    <w:div w:id="1826236172">
      <w:bodyDiv w:val="1"/>
      <w:marLeft w:val="0"/>
      <w:marRight w:val="0"/>
      <w:marTop w:val="0"/>
      <w:marBottom w:val="0"/>
      <w:divBdr>
        <w:top w:val="none" w:sz="0" w:space="0" w:color="auto"/>
        <w:left w:val="none" w:sz="0" w:space="0" w:color="auto"/>
        <w:bottom w:val="none" w:sz="0" w:space="0" w:color="auto"/>
        <w:right w:val="none" w:sz="0" w:space="0" w:color="auto"/>
      </w:divBdr>
    </w:div>
    <w:div w:id="1834030694">
      <w:bodyDiv w:val="1"/>
      <w:marLeft w:val="0"/>
      <w:marRight w:val="0"/>
      <w:marTop w:val="0"/>
      <w:marBottom w:val="0"/>
      <w:divBdr>
        <w:top w:val="none" w:sz="0" w:space="0" w:color="auto"/>
        <w:left w:val="none" w:sz="0" w:space="0" w:color="auto"/>
        <w:bottom w:val="none" w:sz="0" w:space="0" w:color="auto"/>
        <w:right w:val="none" w:sz="0" w:space="0" w:color="auto"/>
      </w:divBdr>
    </w:div>
    <w:div w:id="1834838303">
      <w:bodyDiv w:val="1"/>
      <w:marLeft w:val="0"/>
      <w:marRight w:val="0"/>
      <w:marTop w:val="0"/>
      <w:marBottom w:val="0"/>
      <w:divBdr>
        <w:top w:val="none" w:sz="0" w:space="0" w:color="auto"/>
        <w:left w:val="none" w:sz="0" w:space="0" w:color="auto"/>
        <w:bottom w:val="none" w:sz="0" w:space="0" w:color="auto"/>
        <w:right w:val="none" w:sz="0" w:space="0" w:color="auto"/>
      </w:divBdr>
    </w:div>
    <w:div w:id="1835684621">
      <w:bodyDiv w:val="1"/>
      <w:marLeft w:val="0"/>
      <w:marRight w:val="0"/>
      <w:marTop w:val="0"/>
      <w:marBottom w:val="0"/>
      <w:divBdr>
        <w:top w:val="none" w:sz="0" w:space="0" w:color="auto"/>
        <w:left w:val="none" w:sz="0" w:space="0" w:color="auto"/>
        <w:bottom w:val="none" w:sz="0" w:space="0" w:color="auto"/>
        <w:right w:val="none" w:sz="0" w:space="0" w:color="auto"/>
      </w:divBdr>
    </w:div>
    <w:div w:id="1852524553">
      <w:bodyDiv w:val="1"/>
      <w:marLeft w:val="0"/>
      <w:marRight w:val="0"/>
      <w:marTop w:val="0"/>
      <w:marBottom w:val="0"/>
      <w:divBdr>
        <w:top w:val="none" w:sz="0" w:space="0" w:color="auto"/>
        <w:left w:val="none" w:sz="0" w:space="0" w:color="auto"/>
        <w:bottom w:val="none" w:sz="0" w:space="0" w:color="auto"/>
        <w:right w:val="none" w:sz="0" w:space="0" w:color="auto"/>
      </w:divBdr>
    </w:div>
    <w:div w:id="1869757847">
      <w:bodyDiv w:val="1"/>
      <w:marLeft w:val="0"/>
      <w:marRight w:val="0"/>
      <w:marTop w:val="0"/>
      <w:marBottom w:val="0"/>
      <w:divBdr>
        <w:top w:val="none" w:sz="0" w:space="0" w:color="auto"/>
        <w:left w:val="none" w:sz="0" w:space="0" w:color="auto"/>
        <w:bottom w:val="none" w:sz="0" w:space="0" w:color="auto"/>
        <w:right w:val="none" w:sz="0" w:space="0" w:color="auto"/>
      </w:divBdr>
    </w:div>
    <w:div w:id="1894728561">
      <w:bodyDiv w:val="1"/>
      <w:marLeft w:val="0"/>
      <w:marRight w:val="0"/>
      <w:marTop w:val="0"/>
      <w:marBottom w:val="0"/>
      <w:divBdr>
        <w:top w:val="none" w:sz="0" w:space="0" w:color="auto"/>
        <w:left w:val="none" w:sz="0" w:space="0" w:color="auto"/>
        <w:bottom w:val="none" w:sz="0" w:space="0" w:color="auto"/>
        <w:right w:val="none" w:sz="0" w:space="0" w:color="auto"/>
      </w:divBdr>
    </w:div>
    <w:div w:id="1911578604">
      <w:bodyDiv w:val="1"/>
      <w:marLeft w:val="0"/>
      <w:marRight w:val="0"/>
      <w:marTop w:val="0"/>
      <w:marBottom w:val="0"/>
      <w:divBdr>
        <w:top w:val="none" w:sz="0" w:space="0" w:color="auto"/>
        <w:left w:val="none" w:sz="0" w:space="0" w:color="auto"/>
        <w:bottom w:val="none" w:sz="0" w:space="0" w:color="auto"/>
        <w:right w:val="none" w:sz="0" w:space="0" w:color="auto"/>
      </w:divBdr>
    </w:div>
    <w:div w:id="1912081864">
      <w:bodyDiv w:val="1"/>
      <w:marLeft w:val="0"/>
      <w:marRight w:val="0"/>
      <w:marTop w:val="0"/>
      <w:marBottom w:val="0"/>
      <w:divBdr>
        <w:top w:val="none" w:sz="0" w:space="0" w:color="auto"/>
        <w:left w:val="none" w:sz="0" w:space="0" w:color="auto"/>
        <w:bottom w:val="none" w:sz="0" w:space="0" w:color="auto"/>
        <w:right w:val="none" w:sz="0" w:space="0" w:color="auto"/>
      </w:divBdr>
    </w:div>
    <w:div w:id="1912307405">
      <w:bodyDiv w:val="1"/>
      <w:marLeft w:val="0"/>
      <w:marRight w:val="0"/>
      <w:marTop w:val="0"/>
      <w:marBottom w:val="0"/>
      <w:divBdr>
        <w:top w:val="none" w:sz="0" w:space="0" w:color="auto"/>
        <w:left w:val="none" w:sz="0" w:space="0" w:color="auto"/>
        <w:bottom w:val="none" w:sz="0" w:space="0" w:color="auto"/>
        <w:right w:val="none" w:sz="0" w:space="0" w:color="auto"/>
      </w:divBdr>
    </w:div>
    <w:div w:id="1928223935">
      <w:bodyDiv w:val="1"/>
      <w:marLeft w:val="0"/>
      <w:marRight w:val="0"/>
      <w:marTop w:val="0"/>
      <w:marBottom w:val="0"/>
      <w:divBdr>
        <w:top w:val="none" w:sz="0" w:space="0" w:color="auto"/>
        <w:left w:val="none" w:sz="0" w:space="0" w:color="auto"/>
        <w:bottom w:val="none" w:sz="0" w:space="0" w:color="auto"/>
        <w:right w:val="none" w:sz="0" w:space="0" w:color="auto"/>
      </w:divBdr>
    </w:div>
    <w:div w:id="1933582555">
      <w:bodyDiv w:val="1"/>
      <w:marLeft w:val="0"/>
      <w:marRight w:val="0"/>
      <w:marTop w:val="0"/>
      <w:marBottom w:val="0"/>
      <w:divBdr>
        <w:top w:val="none" w:sz="0" w:space="0" w:color="auto"/>
        <w:left w:val="none" w:sz="0" w:space="0" w:color="auto"/>
        <w:bottom w:val="none" w:sz="0" w:space="0" w:color="auto"/>
        <w:right w:val="none" w:sz="0" w:space="0" w:color="auto"/>
      </w:divBdr>
    </w:div>
    <w:div w:id="1940945803">
      <w:bodyDiv w:val="1"/>
      <w:marLeft w:val="0"/>
      <w:marRight w:val="0"/>
      <w:marTop w:val="0"/>
      <w:marBottom w:val="0"/>
      <w:divBdr>
        <w:top w:val="none" w:sz="0" w:space="0" w:color="auto"/>
        <w:left w:val="none" w:sz="0" w:space="0" w:color="auto"/>
        <w:bottom w:val="none" w:sz="0" w:space="0" w:color="auto"/>
        <w:right w:val="none" w:sz="0" w:space="0" w:color="auto"/>
      </w:divBdr>
    </w:div>
    <w:div w:id="1941066518">
      <w:bodyDiv w:val="1"/>
      <w:marLeft w:val="0"/>
      <w:marRight w:val="0"/>
      <w:marTop w:val="0"/>
      <w:marBottom w:val="0"/>
      <w:divBdr>
        <w:top w:val="none" w:sz="0" w:space="0" w:color="auto"/>
        <w:left w:val="none" w:sz="0" w:space="0" w:color="auto"/>
        <w:bottom w:val="none" w:sz="0" w:space="0" w:color="auto"/>
        <w:right w:val="none" w:sz="0" w:space="0" w:color="auto"/>
      </w:divBdr>
    </w:div>
    <w:div w:id="1949241901">
      <w:bodyDiv w:val="1"/>
      <w:marLeft w:val="0"/>
      <w:marRight w:val="0"/>
      <w:marTop w:val="0"/>
      <w:marBottom w:val="0"/>
      <w:divBdr>
        <w:top w:val="none" w:sz="0" w:space="0" w:color="auto"/>
        <w:left w:val="none" w:sz="0" w:space="0" w:color="auto"/>
        <w:bottom w:val="none" w:sz="0" w:space="0" w:color="auto"/>
        <w:right w:val="none" w:sz="0" w:space="0" w:color="auto"/>
      </w:divBdr>
    </w:div>
    <w:div w:id="1966112098">
      <w:bodyDiv w:val="1"/>
      <w:marLeft w:val="0"/>
      <w:marRight w:val="0"/>
      <w:marTop w:val="0"/>
      <w:marBottom w:val="0"/>
      <w:divBdr>
        <w:top w:val="none" w:sz="0" w:space="0" w:color="auto"/>
        <w:left w:val="none" w:sz="0" w:space="0" w:color="auto"/>
        <w:bottom w:val="none" w:sz="0" w:space="0" w:color="auto"/>
        <w:right w:val="none" w:sz="0" w:space="0" w:color="auto"/>
      </w:divBdr>
    </w:div>
    <w:div w:id="1972661607">
      <w:bodyDiv w:val="1"/>
      <w:marLeft w:val="0"/>
      <w:marRight w:val="0"/>
      <w:marTop w:val="0"/>
      <w:marBottom w:val="0"/>
      <w:divBdr>
        <w:top w:val="none" w:sz="0" w:space="0" w:color="auto"/>
        <w:left w:val="none" w:sz="0" w:space="0" w:color="auto"/>
        <w:bottom w:val="none" w:sz="0" w:space="0" w:color="auto"/>
        <w:right w:val="none" w:sz="0" w:space="0" w:color="auto"/>
      </w:divBdr>
    </w:div>
    <w:div w:id="1976711695">
      <w:bodyDiv w:val="1"/>
      <w:marLeft w:val="0"/>
      <w:marRight w:val="0"/>
      <w:marTop w:val="0"/>
      <w:marBottom w:val="0"/>
      <w:divBdr>
        <w:top w:val="none" w:sz="0" w:space="0" w:color="auto"/>
        <w:left w:val="none" w:sz="0" w:space="0" w:color="auto"/>
        <w:bottom w:val="none" w:sz="0" w:space="0" w:color="auto"/>
        <w:right w:val="none" w:sz="0" w:space="0" w:color="auto"/>
      </w:divBdr>
    </w:div>
    <w:div w:id="1991014077">
      <w:bodyDiv w:val="1"/>
      <w:marLeft w:val="0"/>
      <w:marRight w:val="0"/>
      <w:marTop w:val="0"/>
      <w:marBottom w:val="0"/>
      <w:divBdr>
        <w:top w:val="none" w:sz="0" w:space="0" w:color="auto"/>
        <w:left w:val="none" w:sz="0" w:space="0" w:color="auto"/>
        <w:bottom w:val="none" w:sz="0" w:space="0" w:color="auto"/>
        <w:right w:val="none" w:sz="0" w:space="0" w:color="auto"/>
      </w:divBdr>
    </w:div>
    <w:div w:id="2004114695">
      <w:bodyDiv w:val="1"/>
      <w:marLeft w:val="0"/>
      <w:marRight w:val="0"/>
      <w:marTop w:val="0"/>
      <w:marBottom w:val="0"/>
      <w:divBdr>
        <w:top w:val="none" w:sz="0" w:space="0" w:color="auto"/>
        <w:left w:val="none" w:sz="0" w:space="0" w:color="auto"/>
        <w:bottom w:val="none" w:sz="0" w:space="0" w:color="auto"/>
        <w:right w:val="none" w:sz="0" w:space="0" w:color="auto"/>
      </w:divBdr>
    </w:div>
    <w:div w:id="2007434283">
      <w:bodyDiv w:val="1"/>
      <w:marLeft w:val="0"/>
      <w:marRight w:val="0"/>
      <w:marTop w:val="0"/>
      <w:marBottom w:val="0"/>
      <w:divBdr>
        <w:top w:val="none" w:sz="0" w:space="0" w:color="auto"/>
        <w:left w:val="none" w:sz="0" w:space="0" w:color="auto"/>
        <w:bottom w:val="none" w:sz="0" w:space="0" w:color="auto"/>
        <w:right w:val="none" w:sz="0" w:space="0" w:color="auto"/>
      </w:divBdr>
    </w:div>
    <w:div w:id="2020499333">
      <w:bodyDiv w:val="1"/>
      <w:marLeft w:val="0"/>
      <w:marRight w:val="0"/>
      <w:marTop w:val="0"/>
      <w:marBottom w:val="0"/>
      <w:divBdr>
        <w:top w:val="none" w:sz="0" w:space="0" w:color="auto"/>
        <w:left w:val="none" w:sz="0" w:space="0" w:color="auto"/>
        <w:bottom w:val="none" w:sz="0" w:space="0" w:color="auto"/>
        <w:right w:val="none" w:sz="0" w:space="0" w:color="auto"/>
      </w:divBdr>
    </w:div>
    <w:div w:id="2030519266">
      <w:bodyDiv w:val="1"/>
      <w:marLeft w:val="0"/>
      <w:marRight w:val="0"/>
      <w:marTop w:val="0"/>
      <w:marBottom w:val="0"/>
      <w:divBdr>
        <w:top w:val="none" w:sz="0" w:space="0" w:color="auto"/>
        <w:left w:val="none" w:sz="0" w:space="0" w:color="auto"/>
        <w:bottom w:val="none" w:sz="0" w:space="0" w:color="auto"/>
        <w:right w:val="none" w:sz="0" w:space="0" w:color="auto"/>
      </w:divBdr>
    </w:div>
    <w:div w:id="2031370282">
      <w:bodyDiv w:val="1"/>
      <w:marLeft w:val="0"/>
      <w:marRight w:val="0"/>
      <w:marTop w:val="0"/>
      <w:marBottom w:val="0"/>
      <w:divBdr>
        <w:top w:val="none" w:sz="0" w:space="0" w:color="auto"/>
        <w:left w:val="none" w:sz="0" w:space="0" w:color="auto"/>
        <w:bottom w:val="none" w:sz="0" w:space="0" w:color="auto"/>
        <w:right w:val="none" w:sz="0" w:space="0" w:color="auto"/>
      </w:divBdr>
    </w:div>
    <w:div w:id="2046517476">
      <w:bodyDiv w:val="1"/>
      <w:marLeft w:val="0"/>
      <w:marRight w:val="0"/>
      <w:marTop w:val="0"/>
      <w:marBottom w:val="0"/>
      <w:divBdr>
        <w:top w:val="none" w:sz="0" w:space="0" w:color="auto"/>
        <w:left w:val="none" w:sz="0" w:space="0" w:color="auto"/>
        <w:bottom w:val="none" w:sz="0" w:space="0" w:color="auto"/>
        <w:right w:val="none" w:sz="0" w:space="0" w:color="auto"/>
      </w:divBdr>
    </w:div>
    <w:div w:id="2057535416">
      <w:bodyDiv w:val="1"/>
      <w:marLeft w:val="0"/>
      <w:marRight w:val="0"/>
      <w:marTop w:val="0"/>
      <w:marBottom w:val="0"/>
      <w:divBdr>
        <w:top w:val="none" w:sz="0" w:space="0" w:color="auto"/>
        <w:left w:val="none" w:sz="0" w:space="0" w:color="auto"/>
        <w:bottom w:val="none" w:sz="0" w:space="0" w:color="auto"/>
        <w:right w:val="none" w:sz="0" w:space="0" w:color="auto"/>
      </w:divBdr>
    </w:div>
    <w:div w:id="2058164750">
      <w:bodyDiv w:val="1"/>
      <w:marLeft w:val="0"/>
      <w:marRight w:val="0"/>
      <w:marTop w:val="0"/>
      <w:marBottom w:val="0"/>
      <w:divBdr>
        <w:top w:val="none" w:sz="0" w:space="0" w:color="auto"/>
        <w:left w:val="none" w:sz="0" w:space="0" w:color="auto"/>
        <w:bottom w:val="none" w:sz="0" w:space="0" w:color="auto"/>
        <w:right w:val="none" w:sz="0" w:space="0" w:color="auto"/>
      </w:divBdr>
    </w:div>
    <w:div w:id="2064593821">
      <w:bodyDiv w:val="1"/>
      <w:marLeft w:val="0"/>
      <w:marRight w:val="0"/>
      <w:marTop w:val="0"/>
      <w:marBottom w:val="0"/>
      <w:divBdr>
        <w:top w:val="none" w:sz="0" w:space="0" w:color="auto"/>
        <w:left w:val="none" w:sz="0" w:space="0" w:color="auto"/>
        <w:bottom w:val="none" w:sz="0" w:space="0" w:color="auto"/>
        <w:right w:val="none" w:sz="0" w:space="0" w:color="auto"/>
      </w:divBdr>
    </w:div>
    <w:div w:id="2066249147">
      <w:bodyDiv w:val="1"/>
      <w:marLeft w:val="0"/>
      <w:marRight w:val="0"/>
      <w:marTop w:val="0"/>
      <w:marBottom w:val="0"/>
      <w:divBdr>
        <w:top w:val="none" w:sz="0" w:space="0" w:color="auto"/>
        <w:left w:val="none" w:sz="0" w:space="0" w:color="auto"/>
        <w:bottom w:val="none" w:sz="0" w:space="0" w:color="auto"/>
        <w:right w:val="none" w:sz="0" w:space="0" w:color="auto"/>
      </w:divBdr>
    </w:div>
    <w:div w:id="2104295711">
      <w:bodyDiv w:val="1"/>
      <w:marLeft w:val="0"/>
      <w:marRight w:val="0"/>
      <w:marTop w:val="0"/>
      <w:marBottom w:val="0"/>
      <w:divBdr>
        <w:top w:val="none" w:sz="0" w:space="0" w:color="auto"/>
        <w:left w:val="none" w:sz="0" w:space="0" w:color="auto"/>
        <w:bottom w:val="none" w:sz="0" w:space="0" w:color="auto"/>
        <w:right w:val="none" w:sz="0" w:space="0" w:color="auto"/>
      </w:divBdr>
    </w:div>
    <w:div w:id="2104642735">
      <w:bodyDiv w:val="1"/>
      <w:marLeft w:val="0"/>
      <w:marRight w:val="0"/>
      <w:marTop w:val="0"/>
      <w:marBottom w:val="0"/>
      <w:divBdr>
        <w:top w:val="none" w:sz="0" w:space="0" w:color="auto"/>
        <w:left w:val="none" w:sz="0" w:space="0" w:color="auto"/>
        <w:bottom w:val="none" w:sz="0" w:space="0" w:color="auto"/>
        <w:right w:val="none" w:sz="0" w:space="0" w:color="auto"/>
      </w:divBdr>
    </w:div>
    <w:div w:id="2105414600">
      <w:bodyDiv w:val="1"/>
      <w:marLeft w:val="0"/>
      <w:marRight w:val="0"/>
      <w:marTop w:val="0"/>
      <w:marBottom w:val="0"/>
      <w:divBdr>
        <w:top w:val="none" w:sz="0" w:space="0" w:color="auto"/>
        <w:left w:val="none" w:sz="0" w:space="0" w:color="auto"/>
        <w:bottom w:val="none" w:sz="0" w:space="0" w:color="auto"/>
        <w:right w:val="none" w:sz="0" w:space="0" w:color="auto"/>
      </w:divBdr>
    </w:div>
    <w:div w:id="2115782203">
      <w:bodyDiv w:val="1"/>
      <w:marLeft w:val="0"/>
      <w:marRight w:val="0"/>
      <w:marTop w:val="0"/>
      <w:marBottom w:val="0"/>
      <w:divBdr>
        <w:top w:val="none" w:sz="0" w:space="0" w:color="auto"/>
        <w:left w:val="none" w:sz="0" w:space="0" w:color="auto"/>
        <w:bottom w:val="none" w:sz="0" w:space="0" w:color="auto"/>
        <w:right w:val="none" w:sz="0" w:space="0" w:color="auto"/>
      </w:divBdr>
    </w:div>
    <w:div w:id="2123919578">
      <w:bodyDiv w:val="1"/>
      <w:marLeft w:val="0"/>
      <w:marRight w:val="0"/>
      <w:marTop w:val="0"/>
      <w:marBottom w:val="0"/>
      <w:divBdr>
        <w:top w:val="none" w:sz="0" w:space="0" w:color="auto"/>
        <w:left w:val="none" w:sz="0" w:space="0" w:color="auto"/>
        <w:bottom w:val="none" w:sz="0" w:space="0" w:color="auto"/>
        <w:right w:val="none" w:sz="0" w:space="0" w:color="auto"/>
      </w:divBdr>
    </w:div>
    <w:div w:id="214526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tilocali.leggiditalia.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leggiditali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udiolegale.leggiditalia.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image001.png@01D4E592.29B71FC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69B69-E90B-4EB5-85E6-8FD1241E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64733</Words>
  <Characters>368981</Characters>
  <Application>Microsoft Office Word</Application>
  <DocSecurity>0</DocSecurity>
  <Lines>3074</Lines>
  <Paragraphs>865</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432849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BOSSAN</dc:creator>
  <cp:lastModifiedBy>Cartolano Vito</cp:lastModifiedBy>
  <cp:revision>2</cp:revision>
  <cp:lastPrinted>2019-04-15T16:34:00Z</cp:lastPrinted>
  <dcterms:created xsi:type="dcterms:W3CDTF">2019-04-24T12:09:00Z</dcterms:created>
  <dcterms:modified xsi:type="dcterms:W3CDTF">2019-04-24T12:09:00Z</dcterms:modified>
</cp:coreProperties>
</file>